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F561" w14:textId="77777777" w:rsidR="00FD0412" w:rsidRDefault="00FD0412">
      <w:pPr>
        <w:jc w:val="right"/>
        <w:rPr>
          <w:rFonts w:ascii="Bookman Old Style" w:eastAsia="Bookman Old Style" w:hAnsi="Bookman Old Style" w:cs="Bookman Old Style"/>
          <w:sz w:val="22"/>
          <w:szCs w:val="22"/>
        </w:rPr>
      </w:pPr>
    </w:p>
    <w:p w14:paraId="3B4B56F7" w14:textId="77777777" w:rsidR="00FD0412" w:rsidRDefault="00B868F8">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Bogotá D.C., junio de 2025</w:t>
      </w:r>
    </w:p>
    <w:p w14:paraId="54541B92" w14:textId="77777777" w:rsidR="00FD0412" w:rsidRDefault="00FD0412">
      <w:pPr>
        <w:rPr>
          <w:rFonts w:ascii="Bookman Old Style" w:eastAsia="Bookman Old Style" w:hAnsi="Bookman Old Style" w:cs="Bookman Old Style"/>
        </w:rPr>
      </w:pPr>
    </w:p>
    <w:p w14:paraId="39B281B6" w14:textId="77777777" w:rsidR="00FD0412" w:rsidRDefault="00FD0412">
      <w:pPr>
        <w:rPr>
          <w:rFonts w:ascii="Bookman Old Style" w:eastAsia="Bookman Old Style" w:hAnsi="Bookman Old Style" w:cs="Bookman Old Style"/>
        </w:rPr>
      </w:pPr>
    </w:p>
    <w:p w14:paraId="1026FC83" w14:textId="77777777" w:rsidR="00FD0412" w:rsidRDefault="00B868F8">
      <w:pPr>
        <w:rPr>
          <w:rFonts w:ascii="Bookman Old Style" w:eastAsia="Bookman Old Style" w:hAnsi="Bookman Old Style" w:cs="Bookman Old Style"/>
        </w:rPr>
      </w:pPr>
      <w:r>
        <w:rPr>
          <w:rFonts w:ascii="Bookman Old Style" w:eastAsia="Bookman Old Style" w:hAnsi="Bookman Old Style" w:cs="Bookman Old Style"/>
        </w:rPr>
        <w:t xml:space="preserve">Honorable Representante </w:t>
      </w:r>
    </w:p>
    <w:p w14:paraId="42B1D574" w14:textId="77777777" w:rsidR="00FD0412" w:rsidRDefault="00B868F8">
      <w:pPr>
        <w:rPr>
          <w:rFonts w:ascii="Bookman Old Style" w:eastAsia="Bookman Old Style" w:hAnsi="Bookman Old Style" w:cs="Bookman Old Style"/>
          <w:b/>
        </w:rPr>
      </w:pPr>
      <w:r>
        <w:rPr>
          <w:rFonts w:ascii="Bookman Old Style" w:eastAsia="Bookman Old Style" w:hAnsi="Bookman Old Style" w:cs="Bookman Old Style"/>
          <w:b/>
        </w:rPr>
        <w:t>ANA PAOLA GARCÍA SOTO</w:t>
      </w:r>
    </w:p>
    <w:p w14:paraId="3B568EE5" w14:textId="77777777" w:rsidR="00FD0412" w:rsidRDefault="00B868F8">
      <w:pPr>
        <w:rPr>
          <w:rFonts w:ascii="Bookman Old Style" w:eastAsia="Bookman Old Style" w:hAnsi="Bookman Old Style" w:cs="Bookman Old Style"/>
        </w:rPr>
      </w:pPr>
      <w:r>
        <w:rPr>
          <w:rFonts w:ascii="Bookman Old Style" w:eastAsia="Bookman Old Style" w:hAnsi="Bookman Old Style" w:cs="Bookman Old Style"/>
        </w:rPr>
        <w:t>Presidente</w:t>
      </w:r>
    </w:p>
    <w:p w14:paraId="02B4B32C" w14:textId="77777777" w:rsidR="00FD0412" w:rsidRDefault="00B868F8">
      <w:pPr>
        <w:rPr>
          <w:rFonts w:ascii="Bookman Old Style" w:eastAsia="Bookman Old Style" w:hAnsi="Bookman Old Style" w:cs="Bookman Old Style"/>
        </w:rPr>
      </w:pPr>
      <w:r>
        <w:rPr>
          <w:rFonts w:ascii="Bookman Old Style" w:eastAsia="Bookman Old Style" w:hAnsi="Bookman Old Style" w:cs="Bookman Old Style"/>
        </w:rPr>
        <w:t xml:space="preserve">Comisión Primera Constitucional Permanente </w:t>
      </w:r>
    </w:p>
    <w:p w14:paraId="694A5980" w14:textId="77777777" w:rsidR="00FD0412" w:rsidRDefault="00B868F8">
      <w:pPr>
        <w:rPr>
          <w:rFonts w:ascii="Bookman Old Style" w:eastAsia="Bookman Old Style" w:hAnsi="Bookman Old Style" w:cs="Bookman Old Style"/>
        </w:rPr>
      </w:pPr>
      <w:r>
        <w:rPr>
          <w:rFonts w:ascii="Bookman Old Style" w:eastAsia="Bookman Old Style" w:hAnsi="Bookman Old Style" w:cs="Bookman Old Style"/>
        </w:rPr>
        <w:t>Cámara de Representantes</w:t>
      </w:r>
    </w:p>
    <w:p w14:paraId="64587E62" w14:textId="77777777" w:rsidR="00FD0412" w:rsidRDefault="00FD0412">
      <w:pPr>
        <w:ind w:left="2835"/>
        <w:jc w:val="both"/>
        <w:rPr>
          <w:rFonts w:ascii="Bookman Old Style" w:eastAsia="Bookman Old Style" w:hAnsi="Bookman Old Style" w:cs="Bookman Old Style"/>
        </w:rPr>
      </w:pPr>
    </w:p>
    <w:p w14:paraId="31F56240" w14:textId="77777777" w:rsidR="00FD0412" w:rsidRDefault="00FD0412">
      <w:pPr>
        <w:jc w:val="both"/>
        <w:rPr>
          <w:rFonts w:ascii="Bookman Old Style" w:eastAsia="Bookman Old Style" w:hAnsi="Bookman Old Style" w:cs="Bookman Old Style"/>
          <w:b/>
        </w:rPr>
      </w:pPr>
    </w:p>
    <w:p w14:paraId="2DC6F343" w14:textId="77777777" w:rsidR="00FD0412" w:rsidRDefault="00B868F8">
      <w:pPr>
        <w:ind w:left="1134" w:hanging="1134"/>
        <w:jc w:val="both"/>
        <w:rPr>
          <w:rFonts w:ascii="Bookman Old Style" w:eastAsia="Bookman Old Style" w:hAnsi="Bookman Old Style" w:cs="Bookman Old Style"/>
        </w:rPr>
      </w:pPr>
      <w:bookmarkStart w:id="0" w:name="_heading=h.u5jg4ioay12f" w:colFirst="0" w:colLast="0"/>
      <w:bookmarkEnd w:id="0"/>
      <w:r>
        <w:rPr>
          <w:rFonts w:ascii="Bookman Old Style" w:eastAsia="Bookman Old Style" w:hAnsi="Bookman Old Style" w:cs="Bookman Old Style"/>
          <w:b/>
        </w:rPr>
        <w:t xml:space="preserve">Asunto: </w:t>
      </w:r>
      <w:r>
        <w:rPr>
          <w:rFonts w:ascii="Bookman Old Style" w:eastAsia="Bookman Old Style" w:hAnsi="Bookman Old Style" w:cs="Bookman Old Style"/>
        </w:rPr>
        <w:t xml:space="preserve">Ponencia para Primer Debate al Proyecto de Ley </w:t>
      </w:r>
      <w:proofErr w:type="spellStart"/>
      <w:r>
        <w:rPr>
          <w:rFonts w:ascii="Bookman Old Style" w:eastAsia="Bookman Old Style" w:hAnsi="Bookman Old Style" w:cs="Bookman Old Style"/>
        </w:rPr>
        <w:t>Nº</w:t>
      </w:r>
      <w:proofErr w:type="spellEnd"/>
      <w:r>
        <w:rPr>
          <w:rFonts w:ascii="Bookman Old Style" w:eastAsia="Bookman Old Style" w:hAnsi="Bookman Old Style" w:cs="Bookman Old Style"/>
        </w:rPr>
        <w:t xml:space="preserve"> 525 de 2025 Cámara “por medio del cual se establecen medidas de responsabilidad del Estado en favor de las víctimas de delitos de lesa humanidad, graves infracciones a los derechos humanos y al derecho internacional humanitario cometidos con ocasión o en razón del conflicto armado interno”</w:t>
      </w:r>
    </w:p>
    <w:p w14:paraId="77FDB3B3" w14:textId="77777777" w:rsidR="00FD0412" w:rsidRDefault="00FD0412">
      <w:pPr>
        <w:rPr>
          <w:rFonts w:ascii="Bookman Old Style" w:eastAsia="Bookman Old Style" w:hAnsi="Bookman Old Style" w:cs="Bookman Old Style"/>
        </w:rPr>
      </w:pPr>
    </w:p>
    <w:p w14:paraId="5AE3CA91" w14:textId="77777777" w:rsidR="00FD0412" w:rsidRDefault="00B868F8">
      <w:pPr>
        <w:rPr>
          <w:rFonts w:ascii="Bookman Old Style" w:eastAsia="Bookman Old Style" w:hAnsi="Bookman Old Style" w:cs="Bookman Old Style"/>
        </w:rPr>
      </w:pPr>
      <w:r>
        <w:rPr>
          <w:rFonts w:ascii="Bookman Old Style" w:eastAsia="Bookman Old Style" w:hAnsi="Bookman Old Style" w:cs="Bookman Old Style"/>
        </w:rPr>
        <w:t xml:space="preserve">Respetada señora </w:t>
      </w:r>
      <w:proofErr w:type="gramStart"/>
      <w:r>
        <w:rPr>
          <w:rFonts w:ascii="Bookman Old Style" w:eastAsia="Bookman Old Style" w:hAnsi="Bookman Old Style" w:cs="Bookman Old Style"/>
        </w:rPr>
        <w:t>Presidente</w:t>
      </w:r>
      <w:proofErr w:type="gramEnd"/>
      <w:r>
        <w:rPr>
          <w:rFonts w:ascii="Bookman Old Style" w:eastAsia="Bookman Old Style" w:hAnsi="Bookman Old Style" w:cs="Bookman Old Style"/>
        </w:rPr>
        <w:t xml:space="preserve">; </w:t>
      </w:r>
    </w:p>
    <w:p w14:paraId="6FDF1648" w14:textId="77777777" w:rsidR="00FD0412" w:rsidRDefault="00FD0412">
      <w:pPr>
        <w:jc w:val="both"/>
        <w:rPr>
          <w:rFonts w:ascii="Bookman Old Style" w:eastAsia="Bookman Old Style" w:hAnsi="Bookman Old Style" w:cs="Bookman Old Style"/>
        </w:rPr>
      </w:pPr>
    </w:p>
    <w:p w14:paraId="5C66C0CA" w14:textId="77777777" w:rsidR="00FD0412" w:rsidRDefault="00B868F8">
      <w:pPr>
        <w:jc w:val="both"/>
        <w:rPr>
          <w:rFonts w:ascii="Bookman Old Style" w:eastAsia="Bookman Old Style" w:hAnsi="Bookman Old Style" w:cs="Bookman Old Style"/>
        </w:rPr>
      </w:pPr>
      <w:bookmarkStart w:id="1" w:name="_heading=h.m7syf5yxoh1w" w:colFirst="0" w:colLast="0"/>
      <w:bookmarkEnd w:id="1"/>
      <w:r>
        <w:rPr>
          <w:rFonts w:ascii="Bookman Old Style" w:eastAsia="Bookman Old Style" w:hAnsi="Bookman Old Style" w:cs="Bookman Old Style"/>
        </w:rPr>
        <w:t xml:space="preserve">En cumplimiento de la designación recibida por parte de la honorable Mesa Directiva de la Comisión Primera de la Cámara de Representantes, y de conformidad con las disposiciones establecidas en el artículo 150 de la Ley 5ª de 1992, procedemos a rendir el informe de ponencia para primer debate en Cámara de Representantes del Proyecto de Ley </w:t>
      </w:r>
      <w:proofErr w:type="spellStart"/>
      <w:r>
        <w:rPr>
          <w:rFonts w:ascii="Bookman Old Style" w:eastAsia="Bookman Old Style" w:hAnsi="Bookman Old Style" w:cs="Bookman Old Style"/>
        </w:rPr>
        <w:t>Nº</w:t>
      </w:r>
      <w:proofErr w:type="spellEnd"/>
      <w:r>
        <w:rPr>
          <w:rFonts w:ascii="Bookman Old Style" w:eastAsia="Bookman Old Style" w:hAnsi="Bookman Old Style" w:cs="Bookman Old Style"/>
        </w:rPr>
        <w:t xml:space="preserve"> 525 de 2025 Cámara “por medio del cual se establecen medidas de responsabilidad del Estado en favor de las víctimas de delitos de lesa humanidad, graves infracciones a los derechos humanos y al derecho internacional humanitario cometidos con ocasión o en razón del conflicto armado interno”.</w:t>
      </w:r>
    </w:p>
    <w:p w14:paraId="0B55C1E5" w14:textId="77777777" w:rsidR="00FD0412" w:rsidRDefault="00FD0412">
      <w:pPr>
        <w:jc w:val="both"/>
        <w:rPr>
          <w:rFonts w:ascii="Bookman Old Style" w:eastAsia="Bookman Old Style" w:hAnsi="Bookman Old Style" w:cs="Bookman Old Style"/>
        </w:rPr>
      </w:pPr>
    </w:p>
    <w:p w14:paraId="73FC34D9" w14:textId="77777777" w:rsidR="00FD0412" w:rsidRDefault="00B868F8">
      <w:pPr>
        <w:jc w:val="both"/>
        <w:rPr>
          <w:rFonts w:ascii="Bookman Old Style" w:eastAsia="Bookman Old Style" w:hAnsi="Bookman Old Style" w:cs="Bookman Old Style"/>
        </w:rPr>
      </w:pPr>
      <w:r>
        <w:rPr>
          <w:rFonts w:ascii="Bookman Old Style" w:eastAsia="Bookman Old Style" w:hAnsi="Bookman Old Style" w:cs="Bookman Old Style"/>
        </w:rPr>
        <w:t xml:space="preserve">Atentamente, </w:t>
      </w:r>
    </w:p>
    <w:p w14:paraId="2D844DB0" w14:textId="77777777" w:rsidR="00FD0412" w:rsidRDefault="00FD0412">
      <w:pPr>
        <w:jc w:val="both"/>
        <w:rPr>
          <w:rFonts w:ascii="Bookman Old Style" w:eastAsia="Bookman Old Style" w:hAnsi="Bookman Old Style" w:cs="Bookman Old Style"/>
        </w:rPr>
      </w:pPr>
    </w:p>
    <w:p w14:paraId="24AE6F97" w14:textId="77777777" w:rsidR="00FD0412" w:rsidRDefault="00FD0412">
      <w:pPr>
        <w:jc w:val="both"/>
        <w:rPr>
          <w:rFonts w:ascii="Bookman Old Style" w:eastAsia="Bookman Old Style" w:hAnsi="Bookman Old Style" w:cs="Bookman Old Style"/>
          <w:sz w:val="22"/>
          <w:szCs w:val="22"/>
        </w:rPr>
      </w:pPr>
    </w:p>
    <w:p w14:paraId="52FBCA8C" w14:textId="77777777" w:rsidR="00FD0412" w:rsidRDefault="00FD0412">
      <w:pPr>
        <w:jc w:val="both"/>
        <w:rPr>
          <w:rFonts w:ascii="Bookman Old Style" w:eastAsia="Bookman Old Style" w:hAnsi="Bookman Old Style" w:cs="Bookman Old Style"/>
          <w:sz w:val="22"/>
          <w:szCs w:val="22"/>
        </w:rPr>
      </w:pPr>
    </w:p>
    <w:tbl>
      <w:tblPr>
        <w:tblStyle w:val="Tablaconcuadrcula"/>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96"/>
      </w:tblGrid>
      <w:tr w:rsidR="00042D4C" w14:paraId="451D4AD6" w14:textId="77777777" w:rsidTr="00042D4C">
        <w:tc>
          <w:tcPr>
            <w:tcW w:w="4702" w:type="dxa"/>
          </w:tcPr>
          <w:p w14:paraId="27FBD516" w14:textId="68399C93" w:rsidR="00042D4C" w:rsidRDefault="00042D4C" w:rsidP="00042D4C">
            <w:pPr>
              <w:rPr>
                <w:rFonts w:ascii="Bookman Old Style" w:eastAsia="Bookman Old Style" w:hAnsi="Bookman Old Style" w:cs="Bookman Old Style"/>
                <w:b/>
              </w:rPr>
            </w:pPr>
            <w:r>
              <w:rPr>
                <w:rFonts w:ascii="Bookman Old Style" w:eastAsia="Bookman Old Style" w:hAnsi="Bookman Old Style" w:cs="Bookman Old Style"/>
                <w:b/>
              </w:rPr>
              <w:t>Jorge Eliécer Tamayo Marulanda</w:t>
            </w:r>
          </w:p>
          <w:p w14:paraId="0243E2F2" w14:textId="771FF628" w:rsidR="00042D4C" w:rsidRPr="00042D4C" w:rsidRDefault="00042D4C" w:rsidP="00042D4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tc>
        <w:tc>
          <w:tcPr>
            <w:tcW w:w="4796" w:type="dxa"/>
          </w:tcPr>
          <w:p w14:paraId="6B5A8457" w14:textId="77777777" w:rsidR="00042D4C" w:rsidRDefault="003C1753" w:rsidP="00042D4C">
            <w:pPr>
              <w:jc w:val="both"/>
              <w:rPr>
                <w:b/>
                <w:bCs/>
              </w:rPr>
            </w:pPr>
            <w:hyperlink r:id="rId8">
              <w:r w:rsidR="00042D4C" w:rsidRPr="00042D4C">
                <w:rPr>
                  <w:rFonts w:ascii="Bookman Old Style" w:eastAsia="Bookman Old Style" w:hAnsi="Bookman Old Style" w:cs="Bookman Old Style"/>
                  <w:b/>
                  <w:bCs/>
                </w:rPr>
                <w:t>Eduard Giovanny Sarmiento Hidalgo</w:t>
              </w:r>
            </w:hyperlink>
            <w:r w:rsidR="00042D4C" w:rsidRPr="00042D4C">
              <w:rPr>
                <w:b/>
                <w:bCs/>
              </w:rPr>
              <w:t xml:space="preserve"> </w:t>
            </w:r>
          </w:p>
          <w:p w14:paraId="01661AC3" w14:textId="20336341" w:rsidR="00042D4C" w:rsidRPr="00042D4C" w:rsidRDefault="00042D4C" w:rsidP="00042D4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tc>
      </w:tr>
      <w:tr w:rsidR="00042D4C" w14:paraId="06852618" w14:textId="77777777" w:rsidTr="00042D4C">
        <w:tc>
          <w:tcPr>
            <w:tcW w:w="4702" w:type="dxa"/>
          </w:tcPr>
          <w:p w14:paraId="48524E0A" w14:textId="77777777" w:rsidR="00042D4C" w:rsidRPr="00042D4C" w:rsidRDefault="00042D4C">
            <w:pPr>
              <w:rPr>
                <w:rFonts w:ascii="Bookman Old Style" w:eastAsia="Bookman Old Style" w:hAnsi="Bookman Old Style" w:cs="Bookman Old Style"/>
                <w:b/>
                <w:bCs/>
              </w:rPr>
            </w:pPr>
          </w:p>
          <w:p w14:paraId="4C7900E2" w14:textId="5923B012" w:rsidR="00042D4C" w:rsidRPr="00042D4C" w:rsidRDefault="00042D4C">
            <w:pPr>
              <w:rPr>
                <w:rFonts w:ascii="Bookman Old Style" w:eastAsia="Bookman Old Style" w:hAnsi="Bookman Old Style" w:cs="Bookman Old Style"/>
                <w:b/>
                <w:bCs/>
              </w:rPr>
            </w:pPr>
          </w:p>
          <w:p w14:paraId="492697CD" w14:textId="028081EE" w:rsidR="00042D4C" w:rsidRDefault="00042D4C">
            <w:pPr>
              <w:rPr>
                <w:rFonts w:ascii="Bookman Old Style" w:eastAsia="Bookman Old Style" w:hAnsi="Bookman Old Style" w:cs="Bookman Old Style"/>
                <w:b/>
                <w:bCs/>
              </w:rPr>
            </w:pPr>
          </w:p>
          <w:p w14:paraId="17054521" w14:textId="77777777" w:rsidR="00042D4C" w:rsidRPr="00042D4C" w:rsidRDefault="00042D4C">
            <w:pPr>
              <w:rPr>
                <w:rFonts w:ascii="Bookman Old Style" w:eastAsia="Bookman Old Style" w:hAnsi="Bookman Old Style" w:cs="Bookman Old Style"/>
                <w:b/>
                <w:bCs/>
              </w:rPr>
            </w:pPr>
          </w:p>
          <w:p w14:paraId="5B1CCB88" w14:textId="77777777" w:rsidR="00042D4C" w:rsidRDefault="003C1753">
            <w:pPr>
              <w:rPr>
                <w:rFonts w:ascii="Bookman Old Style" w:eastAsia="Bookman Old Style" w:hAnsi="Bookman Old Style" w:cs="Bookman Old Style"/>
                <w:b/>
                <w:bCs/>
              </w:rPr>
            </w:pPr>
            <w:hyperlink r:id="rId9">
              <w:r w:rsidR="00042D4C" w:rsidRPr="00042D4C">
                <w:rPr>
                  <w:rFonts w:ascii="Bookman Old Style" w:eastAsia="Bookman Old Style" w:hAnsi="Bookman Old Style" w:cs="Bookman Old Style"/>
                  <w:b/>
                  <w:bCs/>
                </w:rPr>
                <w:t>Carlos Felipe Quintero Ovalle</w:t>
              </w:r>
            </w:hyperlink>
          </w:p>
          <w:p w14:paraId="7AB9082E" w14:textId="77777777" w:rsidR="00042D4C" w:rsidRPr="00042D4C" w:rsidRDefault="00042D4C" w:rsidP="00042D4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p w14:paraId="0FCCD3B9" w14:textId="67CDBEC7" w:rsidR="00042D4C" w:rsidRPr="00042D4C" w:rsidRDefault="00042D4C">
            <w:pPr>
              <w:rPr>
                <w:rFonts w:ascii="Bookman Old Style" w:eastAsia="Bookman Old Style" w:hAnsi="Bookman Old Style" w:cs="Bookman Old Style"/>
                <w:b/>
                <w:bCs/>
              </w:rPr>
            </w:pPr>
          </w:p>
        </w:tc>
        <w:tc>
          <w:tcPr>
            <w:tcW w:w="4796" w:type="dxa"/>
          </w:tcPr>
          <w:p w14:paraId="2839AEDC" w14:textId="77777777" w:rsidR="00042D4C" w:rsidRPr="00042D4C" w:rsidRDefault="00042D4C">
            <w:pPr>
              <w:rPr>
                <w:rFonts w:ascii="Bookman Old Style" w:eastAsia="Bookman Old Style" w:hAnsi="Bookman Old Style" w:cs="Bookman Old Style"/>
                <w:b/>
                <w:bCs/>
              </w:rPr>
            </w:pPr>
          </w:p>
          <w:p w14:paraId="430AC73B" w14:textId="77777777" w:rsidR="00042D4C" w:rsidRPr="00042D4C" w:rsidRDefault="00042D4C">
            <w:pPr>
              <w:rPr>
                <w:rFonts w:ascii="Bookman Old Style" w:eastAsia="Bookman Old Style" w:hAnsi="Bookman Old Style" w:cs="Bookman Old Style"/>
                <w:b/>
                <w:bCs/>
              </w:rPr>
            </w:pPr>
          </w:p>
          <w:p w14:paraId="39EDCEA1" w14:textId="4039C946" w:rsidR="00042D4C" w:rsidRDefault="00042D4C">
            <w:pPr>
              <w:rPr>
                <w:rFonts w:ascii="Bookman Old Style" w:eastAsia="Bookman Old Style" w:hAnsi="Bookman Old Style" w:cs="Bookman Old Style"/>
                <w:b/>
                <w:bCs/>
              </w:rPr>
            </w:pPr>
          </w:p>
          <w:p w14:paraId="03EB5B73" w14:textId="77777777" w:rsidR="00042D4C" w:rsidRPr="00042D4C" w:rsidRDefault="00042D4C">
            <w:pPr>
              <w:rPr>
                <w:rFonts w:ascii="Bookman Old Style" w:eastAsia="Bookman Old Style" w:hAnsi="Bookman Old Style" w:cs="Bookman Old Style"/>
                <w:b/>
                <w:bCs/>
              </w:rPr>
            </w:pPr>
          </w:p>
          <w:p w14:paraId="34A48A5A" w14:textId="277BBC81" w:rsidR="00042D4C" w:rsidRDefault="003C1753">
            <w:pPr>
              <w:rPr>
                <w:rFonts w:ascii="Bookman Old Style" w:eastAsia="Bookman Old Style" w:hAnsi="Bookman Old Style" w:cs="Bookman Old Style"/>
                <w:b/>
                <w:bCs/>
              </w:rPr>
            </w:pPr>
            <w:hyperlink r:id="rId10">
              <w:r w:rsidR="00042D4C" w:rsidRPr="00042D4C">
                <w:rPr>
                  <w:rFonts w:ascii="Bookman Old Style" w:eastAsia="Bookman Old Style" w:hAnsi="Bookman Old Style" w:cs="Bookman Old Style"/>
                  <w:b/>
                  <w:bCs/>
                </w:rPr>
                <w:t>Luis Eduardo Díaz Mateus</w:t>
              </w:r>
            </w:hyperlink>
            <w:r w:rsidR="00042D4C" w:rsidRPr="00042D4C">
              <w:rPr>
                <w:rFonts w:ascii="Bookman Old Style" w:eastAsia="Bookman Old Style" w:hAnsi="Bookman Old Style" w:cs="Bookman Old Style"/>
                <w:b/>
                <w:bCs/>
              </w:rPr>
              <w:t xml:space="preserve"> </w:t>
            </w:r>
          </w:p>
          <w:p w14:paraId="50FB7B00" w14:textId="5E446FC3" w:rsidR="00042D4C" w:rsidRPr="00042D4C" w:rsidRDefault="00042D4C" w:rsidP="00042D4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p w14:paraId="3FE31ABA" w14:textId="731CD858" w:rsidR="00042D4C" w:rsidRPr="00042D4C" w:rsidRDefault="00042D4C">
            <w:pPr>
              <w:rPr>
                <w:rFonts w:ascii="Bookman Old Style" w:eastAsia="Bookman Old Style" w:hAnsi="Bookman Old Style" w:cs="Bookman Old Style"/>
                <w:b/>
                <w:bCs/>
              </w:rPr>
            </w:pPr>
          </w:p>
        </w:tc>
      </w:tr>
      <w:tr w:rsidR="00042D4C" w14:paraId="4A11DE41" w14:textId="77777777" w:rsidTr="00042D4C">
        <w:tc>
          <w:tcPr>
            <w:tcW w:w="4702" w:type="dxa"/>
          </w:tcPr>
          <w:p w14:paraId="0FB8F523" w14:textId="77777777" w:rsidR="00042D4C" w:rsidRPr="00042D4C" w:rsidRDefault="00042D4C">
            <w:pPr>
              <w:rPr>
                <w:rFonts w:ascii="Bookman Old Style" w:eastAsia="Bookman Old Style" w:hAnsi="Bookman Old Style" w:cs="Bookman Old Style"/>
                <w:b/>
                <w:bCs/>
              </w:rPr>
            </w:pPr>
          </w:p>
          <w:p w14:paraId="4D4A91B1" w14:textId="77777777" w:rsidR="00042D4C" w:rsidRPr="00042D4C" w:rsidRDefault="00042D4C">
            <w:pPr>
              <w:rPr>
                <w:rFonts w:ascii="Bookman Old Style" w:eastAsia="Bookman Old Style" w:hAnsi="Bookman Old Style" w:cs="Bookman Old Style"/>
                <w:b/>
                <w:bCs/>
              </w:rPr>
            </w:pPr>
          </w:p>
          <w:p w14:paraId="3EA5D3D1" w14:textId="77777777" w:rsidR="00042D4C" w:rsidRPr="00042D4C" w:rsidRDefault="00042D4C">
            <w:pPr>
              <w:rPr>
                <w:rFonts w:ascii="Bookman Old Style" w:eastAsia="Bookman Old Style" w:hAnsi="Bookman Old Style" w:cs="Bookman Old Style"/>
                <w:b/>
                <w:bCs/>
              </w:rPr>
            </w:pPr>
          </w:p>
          <w:p w14:paraId="5FD6E4B6" w14:textId="77777777" w:rsidR="00042D4C" w:rsidRDefault="003C1753">
            <w:pPr>
              <w:rPr>
                <w:b/>
                <w:bCs/>
              </w:rPr>
            </w:pPr>
            <w:hyperlink r:id="rId11">
              <w:proofErr w:type="spellStart"/>
              <w:r w:rsidR="00042D4C" w:rsidRPr="00042D4C">
                <w:rPr>
                  <w:rFonts w:ascii="Bookman Old Style" w:eastAsia="Bookman Old Style" w:hAnsi="Bookman Old Style" w:cs="Bookman Old Style"/>
                  <w:b/>
                  <w:bCs/>
                </w:rPr>
                <w:t>Duvalier</w:t>
              </w:r>
              <w:proofErr w:type="spellEnd"/>
              <w:r w:rsidR="00042D4C" w:rsidRPr="00042D4C">
                <w:rPr>
                  <w:rFonts w:ascii="Bookman Old Style" w:eastAsia="Bookman Old Style" w:hAnsi="Bookman Old Style" w:cs="Bookman Old Style"/>
                  <w:b/>
                  <w:bCs/>
                </w:rPr>
                <w:t xml:space="preserve"> Sánchez Arango</w:t>
              </w:r>
            </w:hyperlink>
            <w:r w:rsidR="00042D4C" w:rsidRPr="00042D4C">
              <w:rPr>
                <w:b/>
                <w:bCs/>
              </w:rPr>
              <w:t xml:space="preserve"> </w:t>
            </w:r>
          </w:p>
          <w:p w14:paraId="3D131600" w14:textId="715A396E" w:rsidR="00042D4C" w:rsidRPr="00042D4C" w:rsidRDefault="00042D4C" w:rsidP="00042D4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tc>
        <w:tc>
          <w:tcPr>
            <w:tcW w:w="4796" w:type="dxa"/>
          </w:tcPr>
          <w:p w14:paraId="10562C45" w14:textId="77777777" w:rsidR="00042D4C" w:rsidRDefault="00042D4C">
            <w:pPr>
              <w:rPr>
                <w:rFonts w:ascii="Bookman Old Style" w:eastAsia="Bookman Old Style" w:hAnsi="Bookman Old Style" w:cs="Bookman Old Style"/>
                <w:b/>
                <w:bCs/>
              </w:rPr>
            </w:pPr>
          </w:p>
          <w:p w14:paraId="25854422" w14:textId="77777777" w:rsidR="00042D4C" w:rsidRDefault="00042D4C">
            <w:pPr>
              <w:rPr>
                <w:rFonts w:ascii="Bookman Old Style" w:eastAsia="Bookman Old Style" w:hAnsi="Bookman Old Style" w:cs="Bookman Old Style"/>
                <w:b/>
                <w:bCs/>
              </w:rPr>
            </w:pPr>
          </w:p>
          <w:p w14:paraId="2D72CD76" w14:textId="77777777" w:rsidR="00042D4C" w:rsidRDefault="00042D4C">
            <w:pPr>
              <w:rPr>
                <w:rFonts w:ascii="Bookman Old Style" w:eastAsia="Bookman Old Style" w:hAnsi="Bookman Old Style" w:cs="Bookman Old Style"/>
                <w:b/>
                <w:bCs/>
              </w:rPr>
            </w:pPr>
          </w:p>
          <w:p w14:paraId="5C9B8016" w14:textId="6B78079C" w:rsidR="00042D4C" w:rsidRDefault="003C1753">
            <w:pPr>
              <w:rPr>
                <w:rFonts w:ascii="Bookman Old Style" w:eastAsia="Bookman Old Style" w:hAnsi="Bookman Old Style" w:cs="Bookman Old Style"/>
                <w:b/>
                <w:bCs/>
              </w:rPr>
            </w:pPr>
            <w:hyperlink r:id="rId12">
              <w:r w:rsidR="00042D4C" w:rsidRPr="00042D4C">
                <w:rPr>
                  <w:rFonts w:ascii="Bookman Old Style" w:eastAsia="Bookman Old Style" w:hAnsi="Bookman Old Style" w:cs="Bookman Old Style"/>
                  <w:b/>
                  <w:bCs/>
                </w:rPr>
                <w:t>Julio César Triana Quintero</w:t>
              </w:r>
            </w:hyperlink>
            <w:r w:rsidR="00042D4C" w:rsidRPr="00042D4C">
              <w:rPr>
                <w:b/>
                <w:bCs/>
              </w:rPr>
              <w:t xml:space="preserve"> </w:t>
            </w:r>
          </w:p>
          <w:p w14:paraId="203FC915" w14:textId="754E4A55" w:rsidR="00042D4C" w:rsidRPr="00042D4C" w:rsidRDefault="00042D4C" w:rsidP="00042D4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tc>
      </w:tr>
      <w:tr w:rsidR="00042D4C" w14:paraId="18E54A89" w14:textId="77777777" w:rsidTr="00042D4C">
        <w:tc>
          <w:tcPr>
            <w:tcW w:w="4702" w:type="dxa"/>
          </w:tcPr>
          <w:p w14:paraId="0FF1DCE5" w14:textId="77777777" w:rsidR="00042D4C" w:rsidRDefault="00042D4C">
            <w:pPr>
              <w:rPr>
                <w:rFonts w:ascii="Bookman Old Style" w:eastAsia="Bookman Old Style" w:hAnsi="Bookman Old Style" w:cs="Bookman Old Style"/>
                <w:b/>
              </w:rPr>
            </w:pPr>
          </w:p>
          <w:p w14:paraId="2D612A97" w14:textId="77777777" w:rsidR="00042D4C" w:rsidRDefault="00042D4C">
            <w:pPr>
              <w:rPr>
                <w:rFonts w:ascii="Bookman Old Style" w:eastAsia="Bookman Old Style" w:hAnsi="Bookman Old Style" w:cs="Bookman Old Style"/>
                <w:b/>
              </w:rPr>
            </w:pPr>
          </w:p>
          <w:p w14:paraId="6A623926" w14:textId="253855F1" w:rsidR="00042D4C" w:rsidRDefault="00042D4C">
            <w:pPr>
              <w:rPr>
                <w:rFonts w:ascii="Bookman Old Style" w:eastAsia="Bookman Old Style" w:hAnsi="Bookman Old Style" w:cs="Bookman Old Style"/>
                <w:b/>
              </w:rPr>
            </w:pPr>
          </w:p>
          <w:p w14:paraId="7D45D1A5" w14:textId="77777777" w:rsidR="00042D4C" w:rsidRDefault="00042D4C">
            <w:pPr>
              <w:rPr>
                <w:rFonts w:ascii="Bookman Old Style" w:eastAsia="Bookman Old Style" w:hAnsi="Bookman Old Style" w:cs="Bookman Old Style"/>
                <w:b/>
              </w:rPr>
            </w:pPr>
          </w:p>
          <w:p w14:paraId="744DC1A9" w14:textId="77777777" w:rsidR="00042D4C" w:rsidRDefault="003C1753">
            <w:pPr>
              <w:rPr>
                <w:b/>
                <w:bCs/>
              </w:rPr>
            </w:pPr>
            <w:hyperlink r:id="rId13">
              <w:r w:rsidR="00042D4C" w:rsidRPr="00042D4C">
                <w:rPr>
                  <w:rFonts w:ascii="Bookman Old Style" w:eastAsia="Bookman Old Style" w:hAnsi="Bookman Old Style" w:cs="Bookman Old Style"/>
                  <w:b/>
                  <w:bCs/>
                </w:rPr>
                <w:t xml:space="preserve">Miguel Abraham Polo </w:t>
              </w:r>
              <w:proofErr w:type="spellStart"/>
              <w:r w:rsidR="00042D4C" w:rsidRPr="00042D4C">
                <w:rPr>
                  <w:rFonts w:ascii="Bookman Old Style" w:eastAsia="Bookman Old Style" w:hAnsi="Bookman Old Style" w:cs="Bookman Old Style"/>
                  <w:b/>
                  <w:bCs/>
                </w:rPr>
                <w:t>Polo</w:t>
              </w:r>
              <w:proofErr w:type="spellEnd"/>
            </w:hyperlink>
            <w:r w:rsidR="00042D4C" w:rsidRPr="00042D4C">
              <w:rPr>
                <w:b/>
                <w:bCs/>
              </w:rPr>
              <w:t xml:space="preserve"> </w:t>
            </w:r>
          </w:p>
          <w:p w14:paraId="7A8891A3" w14:textId="77777777" w:rsidR="00042D4C" w:rsidRPr="00042D4C" w:rsidRDefault="00042D4C" w:rsidP="00042D4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p w14:paraId="2A884339" w14:textId="58CA8D6D" w:rsidR="00042D4C" w:rsidRDefault="00042D4C">
            <w:pPr>
              <w:rPr>
                <w:rFonts w:ascii="Bookman Old Style" w:eastAsia="Bookman Old Style" w:hAnsi="Bookman Old Style" w:cs="Bookman Old Style"/>
                <w:b/>
              </w:rPr>
            </w:pPr>
          </w:p>
        </w:tc>
        <w:tc>
          <w:tcPr>
            <w:tcW w:w="4796" w:type="dxa"/>
          </w:tcPr>
          <w:p w14:paraId="3E9119D3" w14:textId="5786A00E" w:rsidR="00042D4C" w:rsidRDefault="00042D4C">
            <w:pPr>
              <w:rPr>
                <w:rFonts w:ascii="Bookman Old Style" w:eastAsia="Bookman Old Style" w:hAnsi="Bookman Old Style" w:cs="Bookman Old Style"/>
                <w:b/>
              </w:rPr>
            </w:pPr>
          </w:p>
          <w:p w14:paraId="62B7189E" w14:textId="77777777" w:rsidR="00042D4C" w:rsidRDefault="00042D4C">
            <w:pPr>
              <w:rPr>
                <w:rFonts w:ascii="Bookman Old Style" w:eastAsia="Bookman Old Style" w:hAnsi="Bookman Old Style" w:cs="Bookman Old Style"/>
                <w:b/>
              </w:rPr>
            </w:pPr>
          </w:p>
          <w:p w14:paraId="79E3732B" w14:textId="77777777" w:rsidR="00042D4C" w:rsidRDefault="00042D4C">
            <w:pPr>
              <w:rPr>
                <w:rFonts w:ascii="Bookman Old Style" w:eastAsia="Bookman Old Style" w:hAnsi="Bookman Old Style" w:cs="Bookman Old Style"/>
                <w:b/>
              </w:rPr>
            </w:pPr>
          </w:p>
          <w:p w14:paraId="3E0C2498" w14:textId="77777777" w:rsidR="00042D4C" w:rsidRDefault="00042D4C">
            <w:pPr>
              <w:rPr>
                <w:rFonts w:ascii="Bookman Old Style" w:eastAsia="Bookman Old Style" w:hAnsi="Bookman Old Style" w:cs="Bookman Old Style"/>
                <w:b/>
              </w:rPr>
            </w:pPr>
          </w:p>
          <w:p w14:paraId="3B306361" w14:textId="77777777" w:rsidR="00042D4C" w:rsidRDefault="003C1753">
            <w:pPr>
              <w:rPr>
                <w:b/>
                <w:bCs/>
              </w:rPr>
            </w:pPr>
            <w:hyperlink r:id="rId14">
              <w:r w:rsidR="00042D4C" w:rsidRPr="00042D4C">
                <w:rPr>
                  <w:rFonts w:ascii="Bookman Old Style" w:eastAsia="Bookman Old Style" w:hAnsi="Bookman Old Style" w:cs="Bookman Old Style"/>
                  <w:b/>
                  <w:bCs/>
                </w:rPr>
                <w:t xml:space="preserve">Karen </w:t>
              </w:r>
              <w:proofErr w:type="spellStart"/>
              <w:r w:rsidR="00042D4C" w:rsidRPr="00042D4C">
                <w:rPr>
                  <w:rFonts w:ascii="Bookman Old Style" w:eastAsia="Bookman Old Style" w:hAnsi="Bookman Old Style" w:cs="Bookman Old Style"/>
                  <w:b/>
                  <w:bCs/>
                </w:rPr>
                <w:t>Astrith</w:t>
              </w:r>
              <w:proofErr w:type="spellEnd"/>
              <w:r w:rsidR="00042D4C" w:rsidRPr="00042D4C">
                <w:rPr>
                  <w:rFonts w:ascii="Bookman Old Style" w:eastAsia="Bookman Old Style" w:hAnsi="Bookman Old Style" w:cs="Bookman Old Style"/>
                  <w:b/>
                  <w:bCs/>
                </w:rPr>
                <w:t xml:space="preserve"> Manrique Olarte</w:t>
              </w:r>
            </w:hyperlink>
            <w:r w:rsidR="00042D4C" w:rsidRPr="00042D4C">
              <w:rPr>
                <w:b/>
                <w:bCs/>
              </w:rPr>
              <w:t xml:space="preserve"> </w:t>
            </w:r>
          </w:p>
          <w:p w14:paraId="4A615D00" w14:textId="77777777" w:rsidR="00042D4C" w:rsidRPr="00042D4C" w:rsidRDefault="00042D4C" w:rsidP="00042D4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p w14:paraId="4887B2DB" w14:textId="64480D3A" w:rsidR="00042D4C" w:rsidRDefault="00042D4C">
            <w:pPr>
              <w:rPr>
                <w:rFonts w:ascii="Bookman Old Style" w:eastAsia="Bookman Old Style" w:hAnsi="Bookman Old Style" w:cs="Bookman Old Style"/>
                <w:b/>
              </w:rPr>
            </w:pPr>
          </w:p>
        </w:tc>
      </w:tr>
      <w:tr w:rsidR="00042D4C" w14:paraId="4A382931" w14:textId="77777777" w:rsidTr="00042D4C">
        <w:tc>
          <w:tcPr>
            <w:tcW w:w="4702" w:type="dxa"/>
          </w:tcPr>
          <w:p w14:paraId="21D6AE88" w14:textId="77777777" w:rsidR="00042D4C" w:rsidRDefault="00042D4C">
            <w:pPr>
              <w:rPr>
                <w:b/>
                <w:bCs/>
              </w:rPr>
            </w:pPr>
          </w:p>
          <w:p w14:paraId="4403F12F" w14:textId="77777777" w:rsidR="00042D4C" w:rsidRDefault="00042D4C">
            <w:pPr>
              <w:rPr>
                <w:b/>
                <w:bCs/>
              </w:rPr>
            </w:pPr>
          </w:p>
          <w:p w14:paraId="03CE351E" w14:textId="77777777" w:rsidR="00042D4C" w:rsidRDefault="00042D4C">
            <w:pPr>
              <w:rPr>
                <w:b/>
                <w:bCs/>
              </w:rPr>
            </w:pPr>
          </w:p>
          <w:p w14:paraId="532B1F3D" w14:textId="77777777" w:rsidR="00042D4C" w:rsidRDefault="003C1753">
            <w:pPr>
              <w:rPr>
                <w:rFonts w:ascii="Bookman Old Style" w:eastAsia="Bookman Old Style" w:hAnsi="Bookman Old Style" w:cs="Bookman Old Style"/>
                <w:b/>
                <w:bCs/>
              </w:rPr>
            </w:pPr>
            <w:hyperlink r:id="rId15">
              <w:r w:rsidR="00042D4C" w:rsidRPr="00042D4C">
                <w:rPr>
                  <w:rFonts w:ascii="Bookman Old Style" w:eastAsia="Bookman Old Style" w:hAnsi="Bookman Old Style" w:cs="Bookman Old Style"/>
                  <w:b/>
                  <w:bCs/>
                </w:rPr>
                <w:t>Luis Alberto Albán Urbano</w:t>
              </w:r>
            </w:hyperlink>
            <w:r w:rsidR="00042D4C" w:rsidRPr="00042D4C">
              <w:rPr>
                <w:rFonts w:ascii="Bookman Old Style" w:eastAsia="Bookman Old Style" w:hAnsi="Bookman Old Style" w:cs="Bookman Old Style"/>
                <w:b/>
                <w:bCs/>
              </w:rPr>
              <w:t xml:space="preserve">  </w:t>
            </w:r>
          </w:p>
          <w:p w14:paraId="14399DE6" w14:textId="77777777" w:rsidR="00042D4C" w:rsidRPr="00042D4C" w:rsidRDefault="00042D4C" w:rsidP="00042D4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p w14:paraId="2F692E7B" w14:textId="37765CD5" w:rsidR="00042D4C" w:rsidRDefault="00042D4C">
            <w:pPr>
              <w:rPr>
                <w:rFonts w:ascii="Bookman Old Style" w:eastAsia="Bookman Old Style" w:hAnsi="Bookman Old Style" w:cs="Bookman Old Style"/>
                <w:b/>
              </w:rPr>
            </w:pPr>
          </w:p>
        </w:tc>
        <w:tc>
          <w:tcPr>
            <w:tcW w:w="4796" w:type="dxa"/>
          </w:tcPr>
          <w:p w14:paraId="2FA517B6" w14:textId="77777777" w:rsidR="00042D4C" w:rsidRDefault="00042D4C">
            <w:pPr>
              <w:rPr>
                <w:rFonts w:ascii="Bookman Old Style" w:eastAsia="Bookman Old Style" w:hAnsi="Bookman Old Style" w:cs="Bookman Old Style"/>
                <w:b/>
              </w:rPr>
            </w:pPr>
          </w:p>
          <w:p w14:paraId="5C3BD140" w14:textId="77777777" w:rsidR="00042D4C" w:rsidRDefault="00042D4C">
            <w:pPr>
              <w:rPr>
                <w:rFonts w:ascii="Bookman Old Style" w:eastAsia="Bookman Old Style" w:hAnsi="Bookman Old Style" w:cs="Bookman Old Style"/>
                <w:b/>
              </w:rPr>
            </w:pPr>
          </w:p>
          <w:p w14:paraId="4C18D4D1" w14:textId="77777777" w:rsidR="00042D4C" w:rsidRDefault="00042D4C">
            <w:pPr>
              <w:rPr>
                <w:rFonts w:ascii="Bookman Old Style" w:eastAsia="Bookman Old Style" w:hAnsi="Bookman Old Style" w:cs="Bookman Old Style"/>
                <w:b/>
              </w:rPr>
            </w:pPr>
          </w:p>
          <w:p w14:paraId="078FD5E7" w14:textId="77777777" w:rsidR="00042D4C" w:rsidRDefault="003C1753">
            <w:pPr>
              <w:rPr>
                <w:rFonts w:ascii="Bookman Old Style" w:eastAsia="Bookman Old Style" w:hAnsi="Bookman Old Style" w:cs="Bookman Old Style"/>
                <w:b/>
                <w:bCs/>
              </w:rPr>
            </w:pPr>
            <w:hyperlink r:id="rId16">
              <w:r w:rsidR="00042D4C" w:rsidRPr="00042D4C">
                <w:rPr>
                  <w:rFonts w:ascii="Bookman Old Style" w:eastAsia="Bookman Old Style" w:hAnsi="Bookman Old Style" w:cs="Bookman Old Style"/>
                  <w:b/>
                  <w:bCs/>
                </w:rPr>
                <w:t>Marelen Castillo Torres</w:t>
              </w:r>
            </w:hyperlink>
          </w:p>
          <w:p w14:paraId="340DB46B" w14:textId="77777777" w:rsidR="00042D4C" w:rsidRPr="00042D4C" w:rsidRDefault="00042D4C" w:rsidP="00042D4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p w14:paraId="7128EDD0" w14:textId="016B2C51" w:rsidR="00042D4C" w:rsidRDefault="00042D4C">
            <w:pPr>
              <w:rPr>
                <w:rFonts w:ascii="Bookman Old Style" w:eastAsia="Bookman Old Style" w:hAnsi="Bookman Old Style" w:cs="Bookman Old Style"/>
                <w:b/>
              </w:rPr>
            </w:pPr>
          </w:p>
        </w:tc>
      </w:tr>
    </w:tbl>
    <w:p w14:paraId="3BBD20B9" w14:textId="77777777" w:rsidR="00FD0412" w:rsidRDefault="00FD0412">
      <w:pPr>
        <w:rPr>
          <w:rFonts w:ascii="Bookman Old Style" w:eastAsia="Bookman Old Style" w:hAnsi="Bookman Old Style" w:cs="Bookman Old Style"/>
          <w:b/>
        </w:rPr>
      </w:pPr>
    </w:p>
    <w:p w14:paraId="619D3824" w14:textId="77777777" w:rsidR="00FD0412" w:rsidRDefault="00FD0412">
      <w:pPr>
        <w:rPr>
          <w:rFonts w:ascii="Bookman Old Style" w:eastAsia="Bookman Old Style" w:hAnsi="Bookman Old Style" w:cs="Bookman Old Style"/>
          <w:b/>
        </w:rPr>
      </w:pPr>
    </w:p>
    <w:p w14:paraId="06CB9660" w14:textId="77777777" w:rsidR="00042D4C" w:rsidRDefault="00042D4C">
      <w:pPr>
        <w:rPr>
          <w:rFonts w:ascii="Bookman Old Style" w:eastAsia="Bookman Old Style" w:hAnsi="Bookman Old Style" w:cs="Bookman Old Style"/>
          <w:b/>
        </w:rPr>
      </w:pPr>
      <w:bookmarkStart w:id="2" w:name="_heading=h.vht94xb2q62s" w:colFirst="0" w:colLast="0"/>
      <w:bookmarkEnd w:id="2"/>
      <w:r>
        <w:rPr>
          <w:rFonts w:ascii="Bookman Old Style" w:eastAsia="Bookman Old Style" w:hAnsi="Bookman Old Style" w:cs="Bookman Old Style"/>
          <w:b/>
        </w:rPr>
        <w:br w:type="page"/>
      </w:r>
    </w:p>
    <w:p w14:paraId="677F9C3C" w14:textId="0CCF4660" w:rsidR="00FD0412" w:rsidRDefault="00B868F8" w:rsidP="00042D4C">
      <w:pPr>
        <w:jc w:val="both"/>
        <w:rPr>
          <w:rFonts w:ascii="Bookman Old Style" w:eastAsia="Bookman Old Style" w:hAnsi="Bookman Old Style" w:cs="Bookman Old Style"/>
          <w:b/>
        </w:rPr>
      </w:pPr>
      <w:r>
        <w:rPr>
          <w:rFonts w:ascii="Bookman Old Style" w:eastAsia="Bookman Old Style" w:hAnsi="Bookman Old Style" w:cs="Bookman Old Style"/>
          <w:b/>
        </w:rPr>
        <w:lastRenderedPageBreak/>
        <w:t xml:space="preserve">INFORME DE PONENCIA PARA PRIMER DEBATE EN CÁMARA DE REPRESENTANTES, Proyecto de Ley </w:t>
      </w:r>
      <w:proofErr w:type="spellStart"/>
      <w:r>
        <w:rPr>
          <w:rFonts w:ascii="Bookman Old Style" w:eastAsia="Bookman Old Style" w:hAnsi="Bookman Old Style" w:cs="Bookman Old Style"/>
          <w:b/>
        </w:rPr>
        <w:t>Nº</w:t>
      </w:r>
      <w:proofErr w:type="spellEnd"/>
      <w:r>
        <w:rPr>
          <w:rFonts w:ascii="Bookman Old Style" w:eastAsia="Bookman Old Style" w:hAnsi="Bookman Old Style" w:cs="Bookman Old Style"/>
          <w:b/>
        </w:rPr>
        <w:t xml:space="preserve"> 525 de 2025 Cámara “por medio del cual se establecen medidas de responsabilidad del Estado en favor de las víctimas de delitos de lesa humanidad, graves infracciones a los derechos humanos y al derecho internacional humanitario cometidos con ocasión o en razón del conflicto armado interno”</w:t>
      </w:r>
    </w:p>
    <w:p w14:paraId="133E4818" w14:textId="77777777" w:rsidR="00042D4C" w:rsidRDefault="00042D4C" w:rsidP="00042D4C">
      <w:pPr>
        <w:rPr>
          <w:rFonts w:ascii="Bookman Old Style" w:eastAsia="Bookman Old Style" w:hAnsi="Bookman Old Style" w:cs="Bookman Old Style"/>
          <w:b/>
        </w:rPr>
      </w:pPr>
    </w:p>
    <w:p w14:paraId="1149E8A0" w14:textId="77777777" w:rsidR="00FD0412" w:rsidRDefault="00B868F8" w:rsidP="00042D4C">
      <w:pPr>
        <w:rPr>
          <w:rFonts w:ascii="Bookman Old Style" w:eastAsia="Bookman Old Style" w:hAnsi="Bookman Old Style" w:cs="Bookman Old Style"/>
          <w:b/>
        </w:rPr>
      </w:pPr>
      <w:r>
        <w:rPr>
          <w:rFonts w:ascii="Bookman Old Style" w:eastAsia="Bookman Old Style" w:hAnsi="Bookman Old Style" w:cs="Bookman Old Style"/>
          <w:b/>
        </w:rPr>
        <w:t>1. Antecedentes</w:t>
      </w:r>
    </w:p>
    <w:p w14:paraId="5B6E0496" w14:textId="77777777" w:rsidR="00FD0412" w:rsidRDefault="00FD0412" w:rsidP="00042D4C">
      <w:pPr>
        <w:rPr>
          <w:rFonts w:ascii="Bookman Old Style" w:eastAsia="Bookman Old Style" w:hAnsi="Bookman Old Style" w:cs="Bookman Old Style"/>
          <w:b/>
        </w:rPr>
      </w:pPr>
    </w:p>
    <w:p w14:paraId="26B2CCC1"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 xml:space="preserve">El presente proyecto de ley fue presentado por los Honorables Representantes </w:t>
      </w:r>
      <w:hyperlink r:id="rId17">
        <w:r>
          <w:rPr>
            <w:rFonts w:ascii="Bookman Old Style" w:eastAsia="Bookman Old Style" w:hAnsi="Bookman Old Style" w:cs="Bookman Old Style"/>
          </w:rPr>
          <w:t>Susana Gómez Castaño</w:t>
        </w:r>
      </w:hyperlink>
      <w:r>
        <w:rPr>
          <w:rFonts w:ascii="Bookman Old Style" w:eastAsia="Bookman Old Style" w:hAnsi="Bookman Old Style" w:cs="Bookman Old Style"/>
        </w:rPr>
        <w:t xml:space="preserve">, </w:t>
      </w:r>
      <w:hyperlink r:id="rId18">
        <w:r>
          <w:rPr>
            <w:rFonts w:ascii="Bookman Old Style" w:eastAsia="Bookman Old Style" w:hAnsi="Bookman Old Style" w:cs="Bookman Old Style"/>
          </w:rPr>
          <w:t>Gloria Elena Arizabaleta Corral</w:t>
        </w:r>
      </w:hyperlink>
      <w:r>
        <w:rPr>
          <w:rFonts w:ascii="Bookman Old Style" w:eastAsia="Bookman Old Style" w:hAnsi="Bookman Old Style" w:cs="Bookman Old Style"/>
        </w:rPr>
        <w:t xml:space="preserve">, </w:t>
      </w:r>
      <w:hyperlink r:id="rId19">
        <w:r>
          <w:rPr>
            <w:rFonts w:ascii="Bookman Old Style" w:eastAsia="Bookman Old Style" w:hAnsi="Bookman Old Style" w:cs="Bookman Old Style"/>
          </w:rPr>
          <w:t>Dorina Hernández Palomino</w:t>
        </w:r>
      </w:hyperlink>
      <w:r>
        <w:rPr>
          <w:rFonts w:ascii="Bookman Old Style" w:eastAsia="Bookman Old Style" w:hAnsi="Bookman Old Style" w:cs="Bookman Old Style"/>
        </w:rPr>
        <w:t xml:space="preserve">, </w:t>
      </w:r>
      <w:hyperlink r:id="rId20">
        <w:proofErr w:type="spellStart"/>
        <w:r>
          <w:rPr>
            <w:rFonts w:ascii="Bookman Old Style" w:eastAsia="Bookman Old Style" w:hAnsi="Bookman Old Style" w:cs="Bookman Old Style"/>
          </w:rPr>
          <w:t>Dolcey</w:t>
        </w:r>
        <w:proofErr w:type="spellEnd"/>
        <w:r>
          <w:rPr>
            <w:rFonts w:ascii="Bookman Old Style" w:eastAsia="Bookman Old Style" w:hAnsi="Bookman Old Style" w:cs="Bookman Old Style"/>
          </w:rPr>
          <w:t xml:space="preserve"> Oscar Torres Romero</w:t>
        </w:r>
      </w:hyperlink>
      <w:r>
        <w:rPr>
          <w:rFonts w:ascii="Bookman Old Style" w:eastAsia="Bookman Old Style" w:hAnsi="Bookman Old Style" w:cs="Bookman Old Style"/>
        </w:rPr>
        <w:t xml:space="preserve">, </w:t>
      </w:r>
      <w:hyperlink r:id="rId21">
        <w:r>
          <w:rPr>
            <w:rFonts w:ascii="Bookman Old Style" w:eastAsia="Bookman Old Style" w:hAnsi="Bookman Old Style" w:cs="Bookman Old Style"/>
          </w:rPr>
          <w:t xml:space="preserve">Pedro José </w:t>
        </w:r>
        <w:proofErr w:type="spellStart"/>
        <w:r>
          <w:rPr>
            <w:rFonts w:ascii="Bookman Old Style" w:eastAsia="Bookman Old Style" w:hAnsi="Bookman Old Style" w:cs="Bookman Old Style"/>
          </w:rPr>
          <w:t>Súarez</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Vacca</w:t>
        </w:r>
        <w:proofErr w:type="spellEnd"/>
      </w:hyperlink>
      <w:r>
        <w:rPr>
          <w:rFonts w:ascii="Bookman Old Style" w:eastAsia="Bookman Old Style" w:hAnsi="Bookman Old Style" w:cs="Bookman Old Style"/>
        </w:rPr>
        <w:t xml:space="preserve">, </w:t>
      </w:r>
      <w:hyperlink r:id="rId22">
        <w:r>
          <w:rPr>
            <w:rFonts w:ascii="Bookman Old Style" w:eastAsia="Bookman Old Style" w:hAnsi="Bookman Old Style" w:cs="Bookman Old Style"/>
          </w:rPr>
          <w:t xml:space="preserve">Norman David </w:t>
        </w:r>
        <w:proofErr w:type="spellStart"/>
        <w:r>
          <w:rPr>
            <w:rFonts w:ascii="Bookman Old Style" w:eastAsia="Bookman Old Style" w:hAnsi="Bookman Old Style" w:cs="Bookman Old Style"/>
          </w:rPr>
          <w:t>Bañol</w:t>
        </w:r>
        <w:proofErr w:type="spellEnd"/>
        <w:r>
          <w:rPr>
            <w:rFonts w:ascii="Bookman Old Style" w:eastAsia="Bookman Old Style" w:hAnsi="Bookman Old Style" w:cs="Bookman Old Style"/>
          </w:rPr>
          <w:t xml:space="preserve"> Álvarez</w:t>
        </w:r>
      </w:hyperlink>
      <w:r>
        <w:rPr>
          <w:rFonts w:ascii="Bookman Old Style" w:eastAsia="Bookman Old Style" w:hAnsi="Bookman Old Style" w:cs="Bookman Old Style"/>
        </w:rPr>
        <w:t xml:space="preserve">, </w:t>
      </w:r>
      <w:hyperlink r:id="rId23">
        <w:r>
          <w:rPr>
            <w:rFonts w:ascii="Bookman Old Style" w:eastAsia="Bookman Old Style" w:hAnsi="Bookman Old Style" w:cs="Bookman Old Style"/>
          </w:rPr>
          <w:t>Olga Beatriz González Correa</w:t>
        </w:r>
      </w:hyperlink>
      <w:r>
        <w:rPr>
          <w:rFonts w:ascii="Bookman Old Style" w:eastAsia="Bookman Old Style" w:hAnsi="Bookman Old Style" w:cs="Bookman Old Style"/>
        </w:rPr>
        <w:t xml:space="preserve">, </w:t>
      </w:r>
      <w:hyperlink r:id="rId24">
        <w:r>
          <w:rPr>
            <w:rFonts w:ascii="Bookman Old Style" w:eastAsia="Bookman Old Style" w:hAnsi="Bookman Old Style" w:cs="Bookman Old Style"/>
          </w:rPr>
          <w:t>María del Mar Pizarro García</w:t>
        </w:r>
      </w:hyperlink>
      <w:r>
        <w:rPr>
          <w:rFonts w:ascii="Bookman Old Style" w:eastAsia="Bookman Old Style" w:hAnsi="Bookman Old Style" w:cs="Bookman Old Style"/>
        </w:rPr>
        <w:t xml:space="preserve">, </w:t>
      </w:r>
      <w:hyperlink r:id="rId25">
        <w:r>
          <w:rPr>
            <w:rFonts w:ascii="Bookman Old Style" w:eastAsia="Bookman Old Style" w:hAnsi="Bookman Old Style" w:cs="Bookman Old Style"/>
          </w:rPr>
          <w:t>Jorge Eliécer Tamayo Marulanda</w:t>
        </w:r>
      </w:hyperlink>
      <w:r>
        <w:rPr>
          <w:rFonts w:ascii="Bookman Old Style" w:eastAsia="Bookman Old Style" w:hAnsi="Bookman Old Style" w:cs="Bookman Old Style"/>
        </w:rPr>
        <w:t xml:space="preserve">, </w:t>
      </w:r>
      <w:hyperlink r:id="rId26">
        <w:r>
          <w:rPr>
            <w:rFonts w:ascii="Bookman Old Style" w:eastAsia="Bookman Old Style" w:hAnsi="Bookman Old Style" w:cs="Bookman Old Style"/>
          </w:rPr>
          <w:t>Julián David López Tenorio</w:t>
        </w:r>
      </w:hyperlink>
      <w:r>
        <w:rPr>
          <w:rFonts w:ascii="Bookman Old Style" w:eastAsia="Bookman Old Style" w:hAnsi="Bookman Old Style" w:cs="Bookman Old Style"/>
        </w:rPr>
        <w:t xml:space="preserve">, </w:t>
      </w:r>
      <w:hyperlink r:id="rId27">
        <w:r>
          <w:rPr>
            <w:rFonts w:ascii="Bookman Old Style" w:eastAsia="Bookman Old Style" w:hAnsi="Bookman Old Style" w:cs="Bookman Old Style"/>
          </w:rPr>
          <w:t>Alfredo Mondragón Garzón</w:t>
        </w:r>
      </w:hyperlink>
      <w:r>
        <w:rPr>
          <w:rFonts w:ascii="Bookman Old Style" w:eastAsia="Bookman Old Style" w:hAnsi="Bookman Old Style" w:cs="Bookman Old Style"/>
        </w:rPr>
        <w:t xml:space="preserve">, </w:t>
      </w:r>
      <w:hyperlink r:id="rId28">
        <w:proofErr w:type="spellStart"/>
        <w:r>
          <w:rPr>
            <w:rFonts w:ascii="Bookman Old Style" w:eastAsia="Bookman Old Style" w:hAnsi="Bookman Old Style" w:cs="Bookman Old Style"/>
          </w:rPr>
          <w:t>Heraclito</w:t>
        </w:r>
        <w:proofErr w:type="spellEnd"/>
        <w:r>
          <w:rPr>
            <w:rFonts w:ascii="Bookman Old Style" w:eastAsia="Bookman Old Style" w:hAnsi="Bookman Old Style" w:cs="Bookman Old Style"/>
          </w:rPr>
          <w:t xml:space="preserve"> Landinez Suárez</w:t>
        </w:r>
      </w:hyperlink>
      <w:r>
        <w:rPr>
          <w:rFonts w:ascii="Bookman Old Style" w:eastAsia="Bookman Old Style" w:hAnsi="Bookman Old Style" w:cs="Bookman Old Style"/>
        </w:rPr>
        <w:t xml:space="preserve">, </w:t>
      </w:r>
      <w:hyperlink r:id="rId29">
        <w:r>
          <w:rPr>
            <w:rFonts w:ascii="Bookman Old Style" w:eastAsia="Bookman Old Style" w:hAnsi="Bookman Old Style" w:cs="Bookman Old Style"/>
          </w:rPr>
          <w:t>Eduard Giovanny Sarmiento Hidalgo</w:t>
        </w:r>
      </w:hyperlink>
      <w:r>
        <w:rPr>
          <w:rFonts w:ascii="Bookman Old Style" w:eastAsia="Bookman Old Style" w:hAnsi="Bookman Old Style" w:cs="Bookman Old Style"/>
        </w:rPr>
        <w:t xml:space="preserve">, </w:t>
      </w:r>
      <w:hyperlink r:id="rId30">
        <w:r>
          <w:rPr>
            <w:rFonts w:ascii="Bookman Old Style" w:eastAsia="Bookman Old Style" w:hAnsi="Bookman Old Style" w:cs="Bookman Old Style"/>
          </w:rPr>
          <w:t>José Eliécer Salazar López</w:t>
        </w:r>
      </w:hyperlink>
      <w:r>
        <w:rPr>
          <w:rFonts w:ascii="Bookman Old Style" w:eastAsia="Bookman Old Style" w:hAnsi="Bookman Old Style" w:cs="Bookman Old Style"/>
        </w:rPr>
        <w:t xml:space="preserve">, </w:t>
      </w:r>
      <w:hyperlink r:id="rId31">
        <w:r>
          <w:rPr>
            <w:rFonts w:ascii="Bookman Old Style" w:eastAsia="Bookman Old Style" w:hAnsi="Bookman Old Style" w:cs="Bookman Old Style"/>
          </w:rPr>
          <w:t>Jorge Alejandro Ocampo Giraldo</w:t>
        </w:r>
      </w:hyperlink>
      <w:r>
        <w:rPr>
          <w:rFonts w:ascii="Bookman Old Style" w:eastAsia="Bookman Old Style" w:hAnsi="Bookman Old Style" w:cs="Bookman Old Style"/>
        </w:rPr>
        <w:t xml:space="preserve">, </w:t>
      </w:r>
      <w:hyperlink r:id="rId32">
        <w:r>
          <w:rPr>
            <w:rFonts w:ascii="Bookman Old Style" w:eastAsia="Bookman Old Style" w:hAnsi="Bookman Old Style" w:cs="Bookman Old Style"/>
          </w:rPr>
          <w:t>Carmen Felisa Ramírez Boscán</w:t>
        </w:r>
      </w:hyperlink>
      <w:r>
        <w:rPr>
          <w:rFonts w:ascii="Bookman Old Style" w:eastAsia="Bookman Old Style" w:hAnsi="Bookman Old Style" w:cs="Bookman Old Style"/>
        </w:rPr>
        <w:t xml:space="preserve">, </w:t>
      </w:r>
      <w:hyperlink r:id="rId33">
        <w:r>
          <w:rPr>
            <w:rFonts w:ascii="Bookman Old Style" w:eastAsia="Bookman Old Style" w:hAnsi="Bookman Old Style" w:cs="Bookman Old Style"/>
          </w:rPr>
          <w:t>Etna Tamara Argote Calderón</w:t>
        </w:r>
      </w:hyperlink>
      <w:r>
        <w:rPr>
          <w:rFonts w:ascii="Bookman Old Style" w:eastAsia="Bookman Old Style" w:hAnsi="Bookman Old Style" w:cs="Bookman Old Style"/>
        </w:rPr>
        <w:t xml:space="preserve">, </w:t>
      </w:r>
      <w:hyperlink r:id="rId34">
        <w:r>
          <w:rPr>
            <w:rFonts w:ascii="Bookman Old Style" w:eastAsia="Bookman Old Style" w:hAnsi="Bookman Old Style" w:cs="Bookman Old Style"/>
          </w:rPr>
          <w:t xml:space="preserve">David Ricardo Racero </w:t>
        </w:r>
        <w:proofErr w:type="spellStart"/>
        <w:r>
          <w:rPr>
            <w:rFonts w:ascii="Bookman Old Style" w:eastAsia="Bookman Old Style" w:hAnsi="Bookman Old Style" w:cs="Bookman Old Style"/>
          </w:rPr>
          <w:t>Mayorca</w:t>
        </w:r>
        <w:proofErr w:type="spellEnd"/>
      </w:hyperlink>
      <w:r>
        <w:rPr>
          <w:rFonts w:ascii="Bookman Old Style" w:eastAsia="Bookman Old Style" w:hAnsi="Bookman Old Style" w:cs="Bookman Old Style"/>
        </w:rPr>
        <w:t xml:space="preserve">, </w:t>
      </w:r>
      <w:hyperlink r:id="rId35">
        <w:r>
          <w:rPr>
            <w:rFonts w:ascii="Bookman Old Style" w:eastAsia="Bookman Old Style" w:hAnsi="Bookman Old Style" w:cs="Bookman Old Style"/>
          </w:rPr>
          <w:t>Cristóbal Caicedo Angulo</w:t>
        </w:r>
      </w:hyperlink>
      <w:r>
        <w:rPr>
          <w:rFonts w:ascii="Bookman Old Style" w:eastAsia="Bookman Old Style" w:hAnsi="Bookman Old Style" w:cs="Bookman Old Style"/>
        </w:rPr>
        <w:t xml:space="preserve">, </w:t>
      </w:r>
      <w:hyperlink r:id="rId36">
        <w:r>
          <w:rPr>
            <w:rFonts w:ascii="Bookman Old Style" w:eastAsia="Bookman Old Style" w:hAnsi="Bookman Old Style" w:cs="Bookman Old Style"/>
          </w:rPr>
          <w:t>Martha Lisbeth Alfonso Jurado</w:t>
        </w:r>
      </w:hyperlink>
      <w:r>
        <w:rPr>
          <w:rFonts w:ascii="Bookman Old Style" w:eastAsia="Bookman Old Style" w:hAnsi="Bookman Old Style" w:cs="Bookman Old Style"/>
        </w:rPr>
        <w:t xml:space="preserve">, </w:t>
      </w:r>
      <w:hyperlink r:id="rId37">
        <w:r>
          <w:rPr>
            <w:rFonts w:ascii="Bookman Old Style" w:eastAsia="Bookman Old Style" w:hAnsi="Bookman Old Style" w:cs="Bookman Old Style"/>
          </w:rPr>
          <w:t>Luis Alberto Albán Urbano</w:t>
        </w:r>
      </w:hyperlink>
      <w:r>
        <w:rPr>
          <w:rFonts w:ascii="Bookman Old Style" w:eastAsia="Bookman Old Style" w:hAnsi="Bookman Old Style" w:cs="Bookman Old Style"/>
        </w:rPr>
        <w:t xml:space="preserve">, </w:t>
      </w:r>
      <w:hyperlink r:id="rId38">
        <w:r>
          <w:rPr>
            <w:rFonts w:ascii="Bookman Old Style" w:eastAsia="Bookman Old Style" w:hAnsi="Bookman Old Style" w:cs="Bookman Old Style"/>
          </w:rPr>
          <w:t xml:space="preserve">Pedro </w:t>
        </w:r>
        <w:proofErr w:type="spellStart"/>
        <w:r>
          <w:rPr>
            <w:rFonts w:ascii="Bookman Old Style" w:eastAsia="Bookman Old Style" w:hAnsi="Bookman Old Style" w:cs="Bookman Old Style"/>
          </w:rPr>
          <w:t>Baracutao</w:t>
        </w:r>
        <w:proofErr w:type="spellEnd"/>
        <w:r>
          <w:rPr>
            <w:rFonts w:ascii="Bookman Old Style" w:eastAsia="Bookman Old Style" w:hAnsi="Bookman Old Style" w:cs="Bookman Old Style"/>
          </w:rPr>
          <w:t xml:space="preserve"> García Ospina</w:t>
        </w:r>
      </w:hyperlink>
      <w:r>
        <w:rPr>
          <w:rFonts w:ascii="Bookman Old Style" w:eastAsia="Bookman Old Style" w:hAnsi="Bookman Old Style" w:cs="Bookman Old Style"/>
        </w:rPr>
        <w:t xml:space="preserve">, </w:t>
      </w:r>
      <w:hyperlink r:id="rId39">
        <w:r>
          <w:rPr>
            <w:rFonts w:ascii="Bookman Old Style" w:eastAsia="Bookman Old Style" w:hAnsi="Bookman Old Style" w:cs="Bookman Old Style"/>
          </w:rPr>
          <w:t>María Fernanda Carrascal Rojas</w:t>
        </w:r>
      </w:hyperlink>
      <w:r>
        <w:rPr>
          <w:rFonts w:ascii="Bookman Old Style" w:eastAsia="Bookman Old Style" w:hAnsi="Bookman Old Style" w:cs="Bookman Old Style"/>
        </w:rPr>
        <w:t xml:space="preserve">, </w:t>
      </w:r>
      <w:hyperlink r:id="rId40">
        <w:r>
          <w:rPr>
            <w:rFonts w:ascii="Bookman Old Style" w:eastAsia="Bookman Old Style" w:hAnsi="Bookman Old Style" w:cs="Bookman Old Style"/>
          </w:rPr>
          <w:t>Juan Sebastián Gómez Gonzáles</w:t>
        </w:r>
      </w:hyperlink>
      <w:r>
        <w:rPr>
          <w:rFonts w:ascii="Bookman Old Style" w:eastAsia="Bookman Old Style" w:hAnsi="Bookman Old Style" w:cs="Bookman Old Style"/>
        </w:rPr>
        <w:t xml:space="preserve">, </w:t>
      </w:r>
      <w:hyperlink r:id="rId41">
        <w:r>
          <w:rPr>
            <w:rFonts w:ascii="Bookman Old Style" w:eastAsia="Bookman Old Style" w:hAnsi="Bookman Old Style" w:cs="Bookman Old Style"/>
          </w:rPr>
          <w:t>Jennifer Dalley Pedraza Sandoval</w:t>
        </w:r>
      </w:hyperlink>
      <w:r>
        <w:rPr>
          <w:rFonts w:ascii="Bookman Old Style" w:eastAsia="Bookman Old Style" w:hAnsi="Bookman Old Style" w:cs="Bookman Old Style"/>
        </w:rPr>
        <w:t xml:space="preserve">, </w:t>
      </w:r>
      <w:hyperlink r:id="rId42">
        <w:r>
          <w:rPr>
            <w:rFonts w:ascii="Bookman Old Style" w:eastAsia="Bookman Old Style" w:hAnsi="Bookman Old Style" w:cs="Bookman Old Style"/>
          </w:rPr>
          <w:t>Daniel Carvalho Mejía</w:t>
        </w:r>
      </w:hyperlink>
      <w:r>
        <w:rPr>
          <w:rFonts w:ascii="Bookman Old Style" w:eastAsia="Bookman Old Style" w:hAnsi="Bookman Old Style" w:cs="Bookman Old Style"/>
        </w:rPr>
        <w:t xml:space="preserve">, </w:t>
      </w:r>
      <w:hyperlink r:id="rId43">
        <w:r>
          <w:rPr>
            <w:rFonts w:ascii="Bookman Old Style" w:eastAsia="Bookman Old Style" w:hAnsi="Bookman Old Style" w:cs="Bookman Old Style"/>
          </w:rPr>
          <w:t>Gabriel Ernesto Parrado Durán</w:t>
        </w:r>
      </w:hyperlink>
      <w:r>
        <w:rPr>
          <w:rFonts w:ascii="Bookman Old Style" w:eastAsia="Bookman Old Style" w:hAnsi="Bookman Old Style" w:cs="Bookman Old Style"/>
        </w:rPr>
        <w:t xml:space="preserve">, </w:t>
      </w:r>
      <w:hyperlink r:id="rId44">
        <w:r>
          <w:rPr>
            <w:rFonts w:ascii="Bookman Old Style" w:eastAsia="Bookman Old Style" w:hAnsi="Bookman Old Style" w:cs="Bookman Old Style"/>
          </w:rPr>
          <w:t xml:space="preserve">Armando Antonio </w:t>
        </w:r>
        <w:proofErr w:type="spellStart"/>
        <w:r>
          <w:rPr>
            <w:rFonts w:ascii="Bookman Old Style" w:eastAsia="Bookman Old Style" w:hAnsi="Bookman Old Style" w:cs="Bookman Old Style"/>
          </w:rPr>
          <w:t>Zabaraín</w:t>
        </w:r>
        <w:proofErr w:type="spellEnd"/>
        <w:r>
          <w:rPr>
            <w:rFonts w:ascii="Bookman Old Style" w:eastAsia="Bookman Old Style" w:hAnsi="Bookman Old Style" w:cs="Bookman Old Style"/>
          </w:rPr>
          <w:t xml:space="preserve"> de Arce</w:t>
        </w:r>
      </w:hyperlink>
      <w:r>
        <w:rPr>
          <w:rFonts w:ascii="Bookman Old Style" w:eastAsia="Bookman Old Style" w:hAnsi="Bookman Old Style" w:cs="Bookman Old Style"/>
        </w:rPr>
        <w:t xml:space="preserve">, </w:t>
      </w:r>
      <w:hyperlink r:id="rId45">
        <w:r>
          <w:rPr>
            <w:rFonts w:ascii="Bookman Old Style" w:eastAsia="Bookman Old Style" w:hAnsi="Bookman Old Style" w:cs="Bookman Old Style"/>
          </w:rPr>
          <w:t>Andrés Felipe Jiménez Vargas</w:t>
        </w:r>
      </w:hyperlink>
      <w:r>
        <w:rPr>
          <w:rFonts w:ascii="Bookman Old Style" w:eastAsia="Bookman Old Style" w:hAnsi="Bookman Old Style" w:cs="Bookman Old Style"/>
        </w:rPr>
        <w:t xml:space="preserve">, </w:t>
      </w:r>
      <w:hyperlink r:id="rId46">
        <w:r>
          <w:rPr>
            <w:rFonts w:ascii="Bookman Old Style" w:eastAsia="Bookman Old Style" w:hAnsi="Bookman Old Style" w:cs="Bookman Old Style"/>
          </w:rPr>
          <w:t>Juan Manuel Cortés Dueñas</w:t>
        </w:r>
      </w:hyperlink>
      <w:r>
        <w:rPr>
          <w:rFonts w:ascii="Bookman Old Style" w:eastAsia="Bookman Old Style" w:hAnsi="Bookman Old Style" w:cs="Bookman Old Style"/>
        </w:rPr>
        <w:t xml:space="preserve">, </w:t>
      </w:r>
      <w:hyperlink r:id="rId47">
        <w:r>
          <w:rPr>
            <w:rFonts w:ascii="Bookman Old Style" w:eastAsia="Bookman Old Style" w:hAnsi="Bookman Old Style" w:cs="Bookman Old Style"/>
          </w:rPr>
          <w:t>James Hermenegildo Mosquera Torres</w:t>
        </w:r>
      </w:hyperlink>
      <w:r>
        <w:rPr>
          <w:rFonts w:ascii="Bookman Old Style" w:eastAsia="Bookman Old Style" w:hAnsi="Bookman Old Style" w:cs="Bookman Old Style"/>
        </w:rPr>
        <w:t xml:space="preserve">, </w:t>
      </w:r>
      <w:hyperlink r:id="rId48">
        <w:r>
          <w:rPr>
            <w:rFonts w:ascii="Bookman Old Style" w:eastAsia="Bookman Old Style" w:hAnsi="Bookman Old Style" w:cs="Bookman Old Style"/>
          </w:rPr>
          <w:t>Erika Tatiana Sánchez Pinto</w:t>
        </w:r>
      </w:hyperlink>
      <w:r>
        <w:rPr>
          <w:rFonts w:ascii="Bookman Old Style" w:eastAsia="Bookman Old Style" w:hAnsi="Bookman Old Style" w:cs="Bookman Old Style"/>
        </w:rPr>
        <w:t xml:space="preserve">, </w:t>
      </w:r>
      <w:hyperlink r:id="rId49">
        <w:r>
          <w:rPr>
            <w:rFonts w:ascii="Bookman Old Style" w:eastAsia="Bookman Old Style" w:hAnsi="Bookman Old Style" w:cs="Bookman Old Style"/>
          </w:rPr>
          <w:t>Erick Adrián Velasco Burbano</w:t>
        </w:r>
      </w:hyperlink>
      <w:r>
        <w:rPr>
          <w:rFonts w:ascii="Bookman Old Style" w:eastAsia="Bookman Old Style" w:hAnsi="Bookman Old Style" w:cs="Bookman Old Style"/>
        </w:rPr>
        <w:t xml:space="preserve">, </w:t>
      </w:r>
      <w:hyperlink r:id="rId50">
        <w:proofErr w:type="spellStart"/>
        <w:r>
          <w:rPr>
            <w:rFonts w:ascii="Bookman Old Style" w:eastAsia="Bookman Old Style" w:hAnsi="Bookman Old Style" w:cs="Bookman Old Style"/>
          </w:rPr>
          <w:t>Leider</w:t>
        </w:r>
        <w:proofErr w:type="spellEnd"/>
        <w:r>
          <w:rPr>
            <w:rFonts w:ascii="Bookman Old Style" w:eastAsia="Bookman Old Style" w:hAnsi="Bookman Old Style" w:cs="Bookman Old Style"/>
          </w:rPr>
          <w:t xml:space="preserve"> Alexandra Vásquez Ochoa</w:t>
        </w:r>
      </w:hyperlink>
      <w:r>
        <w:rPr>
          <w:rFonts w:ascii="Bookman Old Style" w:eastAsia="Bookman Old Style" w:hAnsi="Bookman Old Style" w:cs="Bookman Old Style"/>
        </w:rPr>
        <w:t xml:space="preserve">, </w:t>
      </w:r>
      <w:hyperlink r:id="rId51">
        <w:r>
          <w:rPr>
            <w:rFonts w:ascii="Bookman Old Style" w:eastAsia="Bookman Old Style" w:hAnsi="Bookman Old Style" w:cs="Bookman Old Style"/>
          </w:rPr>
          <w:t xml:space="preserve">Jorge Andrés </w:t>
        </w:r>
        <w:proofErr w:type="spellStart"/>
        <w:r>
          <w:rPr>
            <w:rFonts w:ascii="Bookman Old Style" w:eastAsia="Bookman Old Style" w:hAnsi="Bookman Old Style" w:cs="Bookman Old Style"/>
          </w:rPr>
          <w:t>Cancimance</w:t>
        </w:r>
        <w:proofErr w:type="spellEnd"/>
        <w:r>
          <w:rPr>
            <w:rFonts w:ascii="Bookman Old Style" w:eastAsia="Bookman Old Style" w:hAnsi="Bookman Old Style" w:cs="Bookman Old Style"/>
          </w:rPr>
          <w:t xml:space="preserve"> López</w:t>
        </w:r>
      </w:hyperlink>
      <w:r>
        <w:rPr>
          <w:rFonts w:ascii="Bookman Old Style" w:eastAsia="Bookman Old Style" w:hAnsi="Bookman Old Style" w:cs="Bookman Old Style"/>
        </w:rPr>
        <w:t xml:space="preserve"> e </w:t>
      </w:r>
      <w:hyperlink r:id="rId52">
        <w:r>
          <w:rPr>
            <w:rFonts w:ascii="Bookman Old Style" w:eastAsia="Bookman Old Style" w:hAnsi="Bookman Old Style" w:cs="Bookman Old Style"/>
          </w:rPr>
          <w:t>Ingrid Johana Aguirre</w:t>
        </w:r>
      </w:hyperlink>
      <w:r>
        <w:rPr>
          <w:rFonts w:ascii="Bookman Old Style" w:eastAsia="Bookman Old Style" w:hAnsi="Bookman Old Style" w:cs="Bookman Old Style"/>
        </w:rPr>
        <w:t>, el pasado 26 de febrero de 2025 y publicado en la Gaceta 281 de 2025.</w:t>
      </w:r>
    </w:p>
    <w:p w14:paraId="3465CEEC" w14:textId="77777777" w:rsidR="00FD0412" w:rsidRDefault="00FD0412" w:rsidP="00042D4C">
      <w:pPr>
        <w:jc w:val="both"/>
        <w:rPr>
          <w:rFonts w:ascii="Bookman Old Style" w:eastAsia="Bookman Old Style" w:hAnsi="Bookman Old Style" w:cs="Bookman Old Style"/>
        </w:rPr>
      </w:pPr>
    </w:p>
    <w:p w14:paraId="40C00029"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 xml:space="preserve">Fuimos designados como ponentes en Comisión Primera los siguientes Representantes a la Cámara </w:t>
      </w:r>
      <w:hyperlink r:id="rId53">
        <w:r>
          <w:rPr>
            <w:rFonts w:ascii="Bookman Old Style" w:eastAsia="Bookman Old Style" w:hAnsi="Bookman Old Style" w:cs="Bookman Old Style"/>
          </w:rPr>
          <w:t>Jorge Eliécer Tamayo Marulanda</w:t>
        </w:r>
      </w:hyperlink>
      <w:r>
        <w:rPr>
          <w:rFonts w:ascii="Bookman Old Style" w:eastAsia="Bookman Old Style" w:hAnsi="Bookman Old Style" w:cs="Bookman Old Style"/>
        </w:rPr>
        <w:t xml:space="preserve">, </w:t>
      </w:r>
      <w:hyperlink r:id="rId54">
        <w:r>
          <w:rPr>
            <w:rFonts w:ascii="Bookman Old Style" w:eastAsia="Bookman Old Style" w:hAnsi="Bookman Old Style" w:cs="Bookman Old Style"/>
          </w:rPr>
          <w:t>Eduard Giovanny Sarmiento Hidalgo</w:t>
        </w:r>
      </w:hyperlink>
      <w:r>
        <w:t xml:space="preserve">, </w:t>
      </w:r>
      <w:hyperlink r:id="rId55">
        <w:r>
          <w:rPr>
            <w:rFonts w:ascii="Bookman Old Style" w:eastAsia="Bookman Old Style" w:hAnsi="Bookman Old Style" w:cs="Bookman Old Style"/>
          </w:rPr>
          <w:t>Carlos Felipe Quintero Ovalle</w:t>
        </w:r>
      </w:hyperlink>
      <w:r>
        <w:t xml:space="preserve">, </w:t>
      </w:r>
      <w:hyperlink r:id="rId56">
        <w:r>
          <w:rPr>
            <w:rFonts w:ascii="Bookman Old Style" w:eastAsia="Bookman Old Style" w:hAnsi="Bookman Old Style" w:cs="Bookman Old Style"/>
          </w:rPr>
          <w:t>Luis Eduardo Díaz Mateus</w:t>
        </w:r>
      </w:hyperlink>
      <w:r>
        <w:rPr>
          <w:rFonts w:ascii="Bookman Old Style" w:eastAsia="Bookman Old Style" w:hAnsi="Bookman Old Style" w:cs="Bookman Old Style"/>
        </w:rPr>
        <w:t xml:space="preserve">, </w:t>
      </w:r>
      <w:hyperlink r:id="rId57">
        <w:proofErr w:type="spellStart"/>
        <w:r>
          <w:rPr>
            <w:rFonts w:ascii="Bookman Old Style" w:eastAsia="Bookman Old Style" w:hAnsi="Bookman Old Style" w:cs="Bookman Old Style"/>
          </w:rPr>
          <w:t>Duvalier</w:t>
        </w:r>
        <w:proofErr w:type="spellEnd"/>
        <w:r>
          <w:rPr>
            <w:rFonts w:ascii="Bookman Old Style" w:eastAsia="Bookman Old Style" w:hAnsi="Bookman Old Style" w:cs="Bookman Old Style"/>
          </w:rPr>
          <w:t xml:space="preserve"> Sánchez Arango</w:t>
        </w:r>
      </w:hyperlink>
      <w:r>
        <w:t xml:space="preserve">, </w:t>
      </w:r>
      <w:hyperlink r:id="rId58">
        <w:r>
          <w:rPr>
            <w:rFonts w:ascii="Bookman Old Style" w:eastAsia="Bookman Old Style" w:hAnsi="Bookman Old Style" w:cs="Bookman Old Style"/>
          </w:rPr>
          <w:t>Julio César Triana Quintero</w:t>
        </w:r>
      </w:hyperlink>
      <w:r>
        <w:t xml:space="preserve">, </w:t>
      </w:r>
      <w:hyperlink r:id="rId59">
        <w:r>
          <w:rPr>
            <w:rFonts w:ascii="Bookman Old Style" w:eastAsia="Bookman Old Style" w:hAnsi="Bookman Old Style" w:cs="Bookman Old Style"/>
          </w:rPr>
          <w:t xml:space="preserve">Miguel Abraham Polo </w:t>
        </w:r>
        <w:proofErr w:type="spellStart"/>
        <w:r>
          <w:rPr>
            <w:rFonts w:ascii="Bookman Old Style" w:eastAsia="Bookman Old Style" w:hAnsi="Bookman Old Style" w:cs="Bookman Old Style"/>
          </w:rPr>
          <w:t>Polo</w:t>
        </w:r>
        <w:proofErr w:type="spellEnd"/>
      </w:hyperlink>
      <w:r>
        <w:t xml:space="preserve">, </w:t>
      </w:r>
      <w:hyperlink r:id="rId60">
        <w:r>
          <w:rPr>
            <w:rFonts w:ascii="Bookman Old Style" w:eastAsia="Bookman Old Style" w:hAnsi="Bookman Old Style" w:cs="Bookman Old Style"/>
          </w:rPr>
          <w:t xml:space="preserve">Karen </w:t>
        </w:r>
        <w:proofErr w:type="spellStart"/>
        <w:r>
          <w:rPr>
            <w:rFonts w:ascii="Bookman Old Style" w:eastAsia="Bookman Old Style" w:hAnsi="Bookman Old Style" w:cs="Bookman Old Style"/>
          </w:rPr>
          <w:t>Astrith</w:t>
        </w:r>
        <w:proofErr w:type="spellEnd"/>
        <w:r>
          <w:rPr>
            <w:rFonts w:ascii="Bookman Old Style" w:eastAsia="Bookman Old Style" w:hAnsi="Bookman Old Style" w:cs="Bookman Old Style"/>
          </w:rPr>
          <w:t xml:space="preserve"> Manrique Olarte</w:t>
        </w:r>
      </w:hyperlink>
      <w:r>
        <w:t xml:space="preserve">, </w:t>
      </w:r>
      <w:hyperlink r:id="rId61">
        <w:r>
          <w:rPr>
            <w:rFonts w:ascii="Bookman Old Style" w:eastAsia="Bookman Old Style" w:hAnsi="Bookman Old Style" w:cs="Bookman Old Style"/>
          </w:rPr>
          <w:t>Luis Alberto Albán Urbano</w:t>
        </w:r>
      </w:hyperlink>
      <w:r>
        <w:rPr>
          <w:rFonts w:ascii="Bookman Old Style" w:eastAsia="Bookman Old Style" w:hAnsi="Bookman Old Style" w:cs="Bookman Old Style"/>
        </w:rPr>
        <w:t xml:space="preserve"> y </w:t>
      </w:r>
      <w:hyperlink r:id="rId62">
        <w:r>
          <w:rPr>
            <w:rFonts w:ascii="Bookman Old Style" w:eastAsia="Bookman Old Style" w:hAnsi="Bookman Old Style" w:cs="Bookman Old Style"/>
          </w:rPr>
          <w:t>Marelen Castillo Torres</w:t>
        </w:r>
      </w:hyperlink>
      <w:r>
        <w:rPr>
          <w:rFonts w:ascii="Bookman Old Style" w:eastAsia="Bookman Old Style" w:hAnsi="Bookman Old Style" w:cs="Bookman Old Style"/>
        </w:rPr>
        <w:t>.</w:t>
      </w:r>
    </w:p>
    <w:p w14:paraId="20D3093A" w14:textId="77777777" w:rsidR="00FD0412" w:rsidRDefault="00FD0412" w:rsidP="00042D4C">
      <w:pPr>
        <w:jc w:val="both"/>
        <w:rPr>
          <w:rFonts w:ascii="Bookman Old Style" w:eastAsia="Bookman Old Style" w:hAnsi="Bookman Old Style" w:cs="Bookman Old Style"/>
        </w:rPr>
      </w:pPr>
    </w:p>
    <w:p w14:paraId="5B15B1DD" w14:textId="77777777" w:rsidR="00FD0412" w:rsidRDefault="00FD0412" w:rsidP="00042D4C">
      <w:pPr>
        <w:jc w:val="both"/>
        <w:rPr>
          <w:rFonts w:ascii="Bookman Old Style" w:eastAsia="Bookman Old Style" w:hAnsi="Bookman Old Style" w:cs="Bookman Old Style"/>
        </w:rPr>
      </w:pPr>
    </w:p>
    <w:p w14:paraId="6A55432C" w14:textId="77777777" w:rsidR="00FD0412" w:rsidRDefault="00B868F8" w:rsidP="00042D4C">
      <w:pPr>
        <w:rPr>
          <w:rFonts w:ascii="Bookman Old Style" w:eastAsia="Bookman Old Style" w:hAnsi="Bookman Old Style" w:cs="Bookman Old Style"/>
          <w:b/>
        </w:rPr>
      </w:pPr>
      <w:r>
        <w:rPr>
          <w:rFonts w:ascii="Bookman Old Style" w:eastAsia="Bookman Old Style" w:hAnsi="Bookman Old Style" w:cs="Bookman Old Style"/>
          <w:b/>
        </w:rPr>
        <w:t>2. Objeto del Proyecto</w:t>
      </w:r>
    </w:p>
    <w:p w14:paraId="63FEF1A8" w14:textId="77777777" w:rsidR="00FD0412" w:rsidRDefault="00FD0412" w:rsidP="00042D4C">
      <w:pPr>
        <w:pBdr>
          <w:top w:val="nil"/>
          <w:left w:val="nil"/>
          <w:bottom w:val="nil"/>
          <w:right w:val="nil"/>
          <w:between w:val="nil"/>
        </w:pBdr>
        <w:ind w:left="720"/>
        <w:rPr>
          <w:rFonts w:ascii="Bookman Old Style" w:eastAsia="Bookman Old Style" w:hAnsi="Bookman Old Style" w:cs="Bookman Old Style"/>
          <w:b/>
          <w:color w:val="000000"/>
        </w:rPr>
      </w:pPr>
    </w:p>
    <w:p w14:paraId="4689B1D7" w14:textId="77777777" w:rsidR="00FD0412" w:rsidRDefault="00B868F8" w:rsidP="00042D4C">
      <w:pPr>
        <w:jc w:val="both"/>
        <w:rPr>
          <w:rFonts w:ascii="Times New Roman" w:eastAsia="Times New Roman" w:hAnsi="Times New Roman" w:cs="Times New Roman"/>
        </w:rPr>
      </w:pPr>
      <w:r>
        <w:rPr>
          <w:rFonts w:ascii="Bookman Old Style" w:eastAsia="Bookman Old Style" w:hAnsi="Bookman Old Style" w:cs="Bookman Old Style"/>
        </w:rPr>
        <w:t xml:space="preserve">El presente proyecto de ley busca garantizar un acceso efectivo a la justicia y una reparación integral para las víctimas de ejecuciones extrajudiciales y falsos positivos, ajustando las normas procesales que actualmente limitan sus derechos. Esta iniciativa responde a la necesidad de remover las barreras procesales que perpetúan la impunidad y fortalecer los mecanismos judiciales </w:t>
      </w:r>
      <w:r>
        <w:rPr>
          <w:rFonts w:ascii="Bookman Old Style" w:eastAsia="Bookman Old Style" w:hAnsi="Bookman Old Style" w:cs="Bookman Old Style"/>
        </w:rPr>
        <w:lastRenderedPageBreak/>
        <w:t>para que sean acordes con los compromisos internacionales adquiridos por el Estado colombiano.</w:t>
      </w:r>
    </w:p>
    <w:p w14:paraId="2B786FF4" w14:textId="77777777" w:rsidR="00FD0412" w:rsidRDefault="00FD0412" w:rsidP="00042D4C">
      <w:pPr>
        <w:jc w:val="both"/>
        <w:rPr>
          <w:rFonts w:ascii="Bookman Old Style" w:eastAsia="Bookman Old Style" w:hAnsi="Bookman Old Style" w:cs="Bookman Old Style"/>
        </w:rPr>
      </w:pPr>
    </w:p>
    <w:p w14:paraId="466BBE3B"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Para esto, el proyecto de ley busca los siguientes objetivos:</w:t>
      </w:r>
    </w:p>
    <w:p w14:paraId="2E6DA810" w14:textId="77777777" w:rsidR="00FD0412" w:rsidRDefault="00FD0412" w:rsidP="00042D4C">
      <w:pPr>
        <w:jc w:val="both"/>
        <w:rPr>
          <w:rFonts w:ascii="Bookman Old Style" w:eastAsia="Bookman Old Style" w:hAnsi="Bookman Old Style" w:cs="Bookman Old Style"/>
        </w:rPr>
      </w:pPr>
    </w:p>
    <w:p w14:paraId="3FD5445B" w14:textId="77777777" w:rsidR="00FD0412" w:rsidRDefault="00B868F8" w:rsidP="00042D4C">
      <w:pPr>
        <w:numPr>
          <w:ilvl w:val="0"/>
          <w:numId w:val="5"/>
        </w:numPr>
        <w:ind w:left="425"/>
        <w:jc w:val="both"/>
        <w:rPr>
          <w:rFonts w:ascii="Times New Roman" w:eastAsia="Times New Roman" w:hAnsi="Times New Roman" w:cs="Times New Roman"/>
        </w:rPr>
      </w:pPr>
      <w:r>
        <w:rPr>
          <w:rFonts w:ascii="Bookman Old Style" w:eastAsia="Bookman Old Style" w:hAnsi="Bookman Old Style" w:cs="Bookman Old Style"/>
        </w:rPr>
        <w:t>Garantizar el acceso efectivo a la justicia para las víctimas de ejecuciones extrajudiciales y falsos positivos, superando las barreras procesales actuales.</w:t>
      </w:r>
    </w:p>
    <w:p w14:paraId="73AC2907" w14:textId="77777777" w:rsidR="00FD0412" w:rsidRDefault="00B868F8" w:rsidP="00042D4C">
      <w:pPr>
        <w:numPr>
          <w:ilvl w:val="0"/>
          <w:numId w:val="5"/>
        </w:numPr>
        <w:ind w:left="425"/>
        <w:jc w:val="both"/>
        <w:rPr>
          <w:rFonts w:ascii="Times New Roman" w:eastAsia="Times New Roman" w:hAnsi="Times New Roman" w:cs="Times New Roman"/>
        </w:rPr>
      </w:pPr>
      <w:r>
        <w:rPr>
          <w:rFonts w:ascii="Bookman Old Style" w:eastAsia="Bookman Old Style" w:hAnsi="Bookman Old Style" w:cs="Bookman Old Style"/>
        </w:rPr>
        <w:t>Flexibilizar los términos de caducidad aplicables a las demandas de reparación directa, considerando el momento en que las víctimas tuvieron conocimiento real y efectivo de los hechos.</w:t>
      </w:r>
    </w:p>
    <w:p w14:paraId="2EAEE6CF" w14:textId="77777777" w:rsidR="00FD0412" w:rsidRDefault="00B868F8" w:rsidP="00042D4C">
      <w:pPr>
        <w:numPr>
          <w:ilvl w:val="0"/>
          <w:numId w:val="5"/>
        </w:numPr>
        <w:ind w:left="425"/>
        <w:jc w:val="both"/>
        <w:rPr>
          <w:rFonts w:ascii="Times New Roman" w:eastAsia="Times New Roman" w:hAnsi="Times New Roman" w:cs="Times New Roman"/>
        </w:rPr>
      </w:pPr>
      <w:r>
        <w:rPr>
          <w:rFonts w:ascii="Bookman Old Style" w:eastAsia="Bookman Old Style" w:hAnsi="Bookman Old Style" w:cs="Bookman Old Style"/>
        </w:rPr>
        <w:t>Promover la unificación jurisprudencial, estableciendo criterios claros para la interpretación de las normas procesales en estos casos.</w:t>
      </w:r>
    </w:p>
    <w:p w14:paraId="06D95105" w14:textId="77777777" w:rsidR="00FD0412" w:rsidRDefault="00B868F8" w:rsidP="00042D4C">
      <w:pPr>
        <w:numPr>
          <w:ilvl w:val="0"/>
          <w:numId w:val="5"/>
        </w:numPr>
        <w:ind w:left="425"/>
        <w:jc w:val="both"/>
        <w:rPr>
          <w:rFonts w:ascii="Times New Roman" w:eastAsia="Times New Roman" w:hAnsi="Times New Roman" w:cs="Times New Roman"/>
        </w:rPr>
      </w:pPr>
      <w:r>
        <w:rPr>
          <w:rFonts w:ascii="Bookman Old Style" w:eastAsia="Bookman Old Style" w:hAnsi="Bookman Old Style" w:cs="Bookman Old Style"/>
        </w:rPr>
        <w:t>Asegurar que el marco normativo colombiano esté alineado con los principios del derecho internacional de los derechos humanos, garantizando el cumplimiento de los compromisos internacionales del Estado.</w:t>
      </w:r>
    </w:p>
    <w:p w14:paraId="5A05DAAC" w14:textId="77777777" w:rsidR="00FD0412" w:rsidRDefault="00B868F8" w:rsidP="00042D4C">
      <w:pPr>
        <w:numPr>
          <w:ilvl w:val="0"/>
          <w:numId w:val="5"/>
        </w:numPr>
        <w:ind w:left="425"/>
        <w:jc w:val="both"/>
        <w:rPr>
          <w:rFonts w:ascii="Times New Roman" w:eastAsia="Times New Roman" w:hAnsi="Times New Roman" w:cs="Times New Roman"/>
        </w:rPr>
      </w:pPr>
      <w:r>
        <w:rPr>
          <w:rFonts w:ascii="Bookman Old Style" w:eastAsia="Bookman Old Style" w:hAnsi="Bookman Old Style" w:cs="Bookman Old Style"/>
        </w:rPr>
        <w:t>Reducir la revictimización de las familias afectadas mediante la eliminación de rigideces procesales que obstaculizan la reparación integral.</w:t>
      </w:r>
    </w:p>
    <w:p w14:paraId="2DA2D89E" w14:textId="77777777" w:rsidR="00FD0412" w:rsidRDefault="00FD0412" w:rsidP="00042D4C">
      <w:pPr>
        <w:ind w:left="720"/>
        <w:jc w:val="both"/>
        <w:rPr>
          <w:rFonts w:ascii="Bookman Old Style" w:eastAsia="Bookman Old Style" w:hAnsi="Bookman Old Style" w:cs="Bookman Old Style"/>
        </w:rPr>
      </w:pPr>
    </w:p>
    <w:p w14:paraId="5B5D00F6"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Con esto, los autores consideran que el proyecto de ley constituye una respuesta necesaria para superar las barreras que enfrentan las víctimas de ejecuciones extrajudiciales y falsos positivos en su búsqueda de justicia y reparación integral. Mediante la flexibilización de los términos de caducidad y la promoción de la justicia material, esta iniciativa legislativa reafirma el compromiso del Estado colombiano con la protección de los derechos humanos y la lucha contra la impunidad.</w:t>
      </w:r>
    </w:p>
    <w:p w14:paraId="19FAB5DC" w14:textId="77777777" w:rsidR="00FD0412" w:rsidRDefault="00FD0412" w:rsidP="00042D4C">
      <w:pPr>
        <w:jc w:val="both"/>
        <w:rPr>
          <w:rFonts w:ascii="Bookman Old Style" w:eastAsia="Bookman Old Style" w:hAnsi="Bookman Old Style" w:cs="Bookman Old Style"/>
        </w:rPr>
      </w:pPr>
    </w:p>
    <w:p w14:paraId="421F8041" w14:textId="77777777" w:rsidR="00FD0412" w:rsidRDefault="00FD0412" w:rsidP="00042D4C">
      <w:pPr>
        <w:jc w:val="both"/>
        <w:rPr>
          <w:rFonts w:ascii="Bookman Old Style" w:eastAsia="Bookman Old Style" w:hAnsi="Bookman Old Style" w:cs="Bookman Old Style"/>
        </w:rPr>
      </w:pPr>
    </w:p>
    <w:p w14:paraId="4D881474" w14:textId="77777777" w:rsidR="00FD0412" w:rsidRDefault="00B868F8" w:rsidP="00042D4C">
      <w:pPr>
        <w:jc w:val="both"/>
        <w:rPr>
          <w:rFonts w:ascii="Bookman Old Style" w:eastAsia="Bookman Old Style" w:hAnsi="Bookman Old Style" w:cs="Bookman Old Style"/>
          <w:b/>
        </w:rPr>
      </w:pPr>
      <w:bookmarkStart w:id="3" w:name="_heading=h.h0cuqdppat1" w:colFirst="0" w:colLast="0"/>
      <w:bookmarkEnd w:id="3"/>
      <w:r>
        <w:rPr>
          <w:rFonts w:ascii="Bookman Old Style" w:eastAsia="Bookman Old Style" w:hAnsi="Bookman Old Style" w:cs="Bookman Old Style"/>
          <w:b/>
        </w:rPr>
        <w:t>3. Justificación del Proyecto</w:t>
      </w:r>
    </w:p>
    <w:p w14:paraId="788593FB" w14:textId="77777777" w:rsidR="00FD0412" w:rsidRDefault="00FD0412" w:rsidP="00042D4C">
      <w:pPr>
        <w:jc w:val="both"/>
        <w:rPr>
          <w:rFonts w:ascii="Bookman Old Style" w:eastAsia="Bookman Old Style" w:hAnsi="Bookman Old Style" w:cs="Bookman Old Style"/>
          <w:b/>
        </w:rPr>
      </w:pPr>
      <w:bookmarkStart w:id="4" w:name="_heading=h.9vkyg3q6tz73" w:colFirst="0" w:colLast="0"/>
      <w:bookmarkEnd w:id="4"/>
    </w:p>
    <w:p w14:paraId="378B0F54"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Colombia ha sido escenario de graves violaciones a los derechos humanos, entre las que destacan las ejecuciones extrajudiciales y los denominados falsos positivos. Estas prácticas, reconocidas por la jurisprudencia nacional e internacional como crímenes de lesa humanidad, han dejado un impacto profundo en el tejido social y en la confianza de los ciudadanos en las instituciones del Estado.</w:t>
      </w:r>
    </w:p>
    <w:p w14:paraId="6CD7C8D4" w14:textId="77777777" w:rsidR="00FD0412" w:rsidRDefault="00FD0412" w:rsidP="00042D4C">
      <w:pPr>
        <w:jc w:val="both"/>
        <w:rPr>
          <w:rFonts w:ascii="Bookman Old Style" w:eastAsia="Bookman Old Style" w:hAnsi="Bookman Old Style" w:cs="Bookman Old Style"/>
        </w:rPr>
      </w:pPr>
    </w:p>
    <w:p w14:paraId="2D405983"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 xml:space="preserve">Adicionalmente, los autores manifiestan que durante el período 2002 - 2008 a través de la política de seguridad democrática se desarrolló una </w:t>
      </w:r>
      <w:proofErr w:type="spellStart"/>
      <w:r>
        <w:rPr>
          <w:rFonts w:ascii="Bookman Old Style" w:eastAsia="Bookman Old Style" w:hAnsi="Bookman Old Style" w:cs="Bookman Old Style"/>
        </w:rPr>
        <w:t>estratégia</w:t>
      </w:r>
      <w:proofErr w:type="spellEnd"/>
      <w:r>
        <w:rPr>
          <w:rFonts w:ascii="Bookman Old Style" w:eastAsia="Bookman Old Style" w:hAnsi="Bookman Old Style" w:cs="Bookman Old Style"/>
        </w:rPr>
        <w:t xml:space="preserve"> contrainsurgente por parte del Estado con apoyo de la asistencia militar estadounidense a través del Plan Colombia con lo cual se buscó asegurar el control territorial por parte de la fuerza pública, así como para someter y </w:t>
      </w:r>
      <w:r>
        <w:rPr>
          <w:rFonts w:ascii="Bookman Old Style" w:eastAsia="Bookman Old Style" w:hAnsi="Bookman Old Style" w:cs="Bookman Old Style"/>
        </w:rPr>
        <w:lastRenderedPageBreak/>
        <w:t>derrotar militarmente a los actores armados ilegales del conflicto armado interno, principalmente a las organizaciones guerrilleras y reducir sus fuentes de financiación.</w:t>
      </w:r>
    </w:p>
    <w:p w14:paraId="18B6D108" w14:textId="77777777" w:rsidR="00FD0412" w:rsidRDefault="00FD0412" w:rsidP="00042D4C">
      <w:pPr>
        <w:jc w:val="both"/>
        <w:rPr>
          <w:rFonts w:ascii="Bookman Old Style" w:eastAsia="Bookman Old Style" w:hAnsi="Bookman Old Style" w:cs="Bookman Old Style"/>
        </w:rPr>
      </w:pPr>
    </w:p>
    <w:p w14:paraId="387DDC99" w14:textId="7B06E66E"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Lastimosamente, bajo esta política se generaron una serie de ejecuciones extrajudiciales en población campesina, jornaleros, desempleados, trabajadores de la economía informal, con adicciones a las drogas, habitantes de la calle, discapacitados físicos y mentales, estigmatizadas por sus antecedentes penales y hasta desmovilizados —del paramilitarismo y de la insurgencia— sin fuentes de ingreso.</w:t>
      </w:r>
    </w:p>
    <w:p w14:paraId="4F84B85E" w14:textId="77777777" w:rsidR="00FD0412" w:rsidRDefault="00FD0412" w:rsidP="00042D4C">
      <w:pPr>
        <w:jc w:val="both"/>
        <w:rPr>
          <w:rFonts w:ascii="Bookman Old Style" w:eastAsia="Bookman Old Style" w:hAnsi="Bookman Old Style" w:cs="Bookman Old Style"/>
        </w:rPr>
      </w:pPr>
    </w:p>
    <w:p w14:paraId="31A1BF5F"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Por otra parte, las ejecuciones extrajudiciales también terminaron siendo una expresión de lo que la criminología crítica ha definido como populismo punitivo: los civiles asesinados que se presentaron como muertos en combate, terminaron reportándoles réditos electorales a los políticos en el poder, al sustentar sus elecciones y reelecciones en supuestas victorias en el escenario de la guerra contra las insurgencias. Además de esta utilidad política, estos crímenes también se usaron como estrategia de legitimación de la política de seguridad democrática, en la medida que se le envió un mensaje al público de confianza en la victoria que se alcanzaría en contra del enemigo insurgente, valiéndose de la presentación de civiles asesinados como bajas en combate.</w:t>
      </w:r>
    </w:p>
    <w:p w14:paraId="25377575" w14:textId="77777777" w:rsidR="00FD0412" w:rsidRDefault="00FD0412" w:rsidP="00042D4C">
      <w:pPr>
        <w:jc w:val="both"/>
        <w:rPr>
          <w:rFonts w:ascii="Bookman Old Style" w:eastAsia="Bookman Old Style" w:hAnsi="Bookman Old Style" w:cs="Bookman Old Style"/>
        </w:rPr>
      </w:pPr>
    </w:p>
    <w:p w14:paraId="5BA1CA17"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Así las cosas, es importante tener en cuenta que los objetivos trazados en el plan criminal para llevar a cabo las ejecuciones extrajudiciales no encuentran una respuesta final en la atribución de responsabilidades a las unidades militares. Si bien es cierto que muchos de los uniformados involucrados en estos casos pueden ser considerados como máximos responsables o con participación determinante en la comisión de estos crímenes, su actuación se correspondió con una política gubernamental que, bajo la promesa de derrotar a la insurgencia, soltó las riendas a las fuerzas militares para ganar la guerra a como diera lugar, con el propósito de transmitir un mensaje de confianza que le permitiera legitimar cualquier tipo de medio utilizado para tal fin, así esto implicará graves violaciones a los derechos humanos y el desdibujamiento del Estado de derecho.</w:t>
      </w:r>
    </w:p>
    <w:p w14:paraId="68D2C439" w14:textId="77777777" w:rsidR="00FD0412" w:rsidRDefault="00FD0412" w:rsidP="00042D4C">
      <w:pPr>
        <w:jc w:val="both"/>
        <w:rPr>
          <w:rFonts w:ascii="Bookman Old Style" w:eastAsia="Bookman Old Style" w:hAnsi="Bookman Old Style" w:cs="Bookman Old Style"/>
        </w:rPr>
      </w:pPr>
    </w:p>
    <w:p w14:paraId="78BE9FD0" w14:textId="77777777" w:rsidR="00FD0412" w:rsidRDefault="00B868F8" w:rsidP="00042D4C">
      <w:pPr>
        <w:jc w:val="both"/>
        <w:rPr>
          <w:rFonts w:ascii="Bookman Old Style" w:eastAsia="Bookman Old Style" w:hAnsi="Bookman Old Style" w:cs="Bookman Old Style"/>
          <w:b/>
        </w:rPr>
      </w:pPr>
      <w:r>
        <w:rPr>
          <w:rFonts w:ascii="Bookman Old Style" w:eastAsia="Bookman Old Style" w:hAnsi="Bookman Old Style" w:cs="Bookman Old Style"/>
          <w:b/>
        </w:rPr>
        <w:t>Necesidad de este proyecto de ley</w:t>
      </w:r>
    </w:p>
    <w:p w14:paraId="4405D7FD" w14:textId="77777777" w:rsidR="00FD0412" w:rsidRDefault="00FD0412" w:rsidP="00042D4C">
      <w:pPr>
        <w:jc w:val="both"/>
        <w:rPr>
          <w:rFonts w:ascii="Bookman Old Style" w:eastAsia="Bookman Old Style" w:hAnsi="Bookman Old Style" w:cs="Bookman Old Style"/>
        </w:rPr>
      </w:pPr>
    </w:p>
    <w:p w14:paraId="2F3BCE44"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A pesar del reconocimiento de estas violaciones, las víctimas han enfrentado obstáculos significativos para acceder a la justicia. La aplicación estricta de los términos de caducidad, sumada a las dificultades para recolectar pruebas y a la falta de unificación jurisprudencial, ha perpetuado la revictimización y limitado las posibilidades de reparación integral.</w:t>
      </w:r>
    </w:p>
    <w:p w14:paraId="2464D9E0" w14:textId="77777777" w:rsidR="00FD0412" w:rsidRDefault="00FD0412" w:rsidP="00042D4C">
      <w:pPr>
        <w:jc w:val="both"/>
        <w:rPr>
          <w:rFonts w:ascii="Bookman Old Style" w:eastAsia="Bookman Old Style" w:hAnsi="Bookman Old Style" w:cs="Bookman Old Style"/>
        </w:rPr>
      </w:pPr>
    </w:p>
    <w:p w14:paraId="4C0731AD"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El sistema judicial colombiano, aunque ha avanzado en el reconocimiento de estas violaciones, enfrenta limitaciones estructurales que dificultan la investigación y el juzgamiento de estos crímenes. En este contexto, es urgente adoptar reformas que garanticen el acceso efectivo a la justicia y permitan superar las barreras que perpetúan la impunidad.</w:t>
      </w:r>
    </w:p>
    <w:p w14:paraId="4B09A8BE" w14:textId="77777777" w:rsidR="00FD0412" w:rsidRDefault="00FD0412" w:rsidP="00042D4C">
      <w:pPr>
        <w:jc w:val="both"/>
        <w:rPr>
          <w:rFonts w:ascii="Bookman Old Style" w:eastAsia="Bookman Old Style" w:hAnsi="Bookman Old Style" w:cs="Bookman Old Style"/>
        </w:rPr>
      </w:pPr>
    </w:p>
    <w:p w14:paraId="4C9B5445"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 xml:space="preserve">En este sentido, el presente proyecto de ley es necesario y urgente puesto que pone el valor de la vida y la reparación de las víctimas en un lugar central, en especial, de aquellas que han sido afectadas por delitos de lesa humanidad, graves infracciones a los derechos humanos o al derecho internacional humanitario. Esta ley surge por la necesidad de adecuar el ordenamiento jurídico colombiano a los parámetros internacionales en materia de protección a las víctimas de conductas que son imprescriptibles en la investigación. En este sentido, este Proyecto se justifica por varias razones: i) desde lo sustancial, porque es una obligación jurídica y moral por parte del Estado de reparar en debida forma a las víctimas, con un énfasis superior y con mayores garantías a las víctimas de los crímenes más atroces aún por encima de fenómenos procesales como la caducidad; </w:t>
      </w:r>
      <w:proofErr w:type="spellStart"/>
      <w:r>
        <w:rPr>
          <w:rFonts w:ascii="Bookman Old Style" w:eastAsia="Bookman Old Style" w:hAnsi="Bookman Old Style" w:cs="Bookman Old Style"/>
        </w:rPr>
        <w:t>ii</w:t>
      </w:r>
      <w:proofErr w:type="spellEnd"/>
      <w:r>
        <w:rPr>
          <w:rFonts w:ascii="Bookman Old Style" w:eastAsia="Bookman Old Style" w:hAnsi="Bookman Old Style" w:cs="Bookman Old Style"/>
        </w:rPr>
        <w:t xml:space="preserve">) desde una obligación convencional en consonancia con los tratados de derechos humanos interpretados por la doctrina como imperativos para todos los Estados, en donde no es razonable la excusa de apelar al ordenamiento jurídico interno y, </w:t>
      </w:r>
      <w:proofErr w:type="spellStart"/>
      <w:r>
        <w:rPr>
          <w:rFonts w:ascii="Bookman Old Style" w:eastAsia="Bookman Old Style" w:hAnsi="Bookman Old Style" w:cs="Bookman Old Style"/>
        </w:rPr>
        <w:t>iii</w:t>
      </w:r>
      <w:proofErr w:type="spellEnd"/>
      <w:r>
        <w:rPr>
          <w:rFonts w:ascii="Bookman Old Style" w:eastAsia="Bookman Old Style" w:hAnsi="Bookman Old Style" w:cs="Bookman Old Style"/>
        </w:rPr>
        <w:t>) desde la misma seguridad jurídica, porque los fallos contradictorios han generado un caos doctrinal que ha generado incertidumbre en el país sobre la manera cómo se debe entender la aplicación de las reglas sobre la caducidad en el medio de control de reparación directa cuando se está en frente de víctimas de crímenes de lesa humanidad o graves infracciones a los derechos humanos, como lo son las de las ejecuciones extrajudiciales.</w:t>
      </w:r>
    </w:p>
    <w:p w14:paraId="7DFCAD56" w14:textId="77777777" w:rsidR="00FD0412" w:rsidRDefault="00FD0412" w:rsidP="00042D4C">
      <w:pPr>
        <w:jc w:val="both"/>
        <w:rPr>
          <w:rFonts w:ascii="Bookman Old Style" w:eastAsia="Bookman Old Style" w:hAnsi="Bookman Old Style" w:cs="Bookman Old Style"/>
        </w:rPr>
      </w:pPr>
    </w:p>
    <w:p w14:paraId="6192A703" w14:textId="77777777" w:rsidR="00FD0412" w:rsidRDefault="00B868F8" w:rsidP="00042D4C">
      <w:pPr>
        <w:jc w:val="both"/>
        <w:rPr>
          <w:rFonts w:ascii="Bookman Old Style" w:eastAsia="Bookman Old Style" w:hAnsi="Bookman Old Style" w:cs="Bookman Old Style"/>
          <w:b/>
        </w:rPr>
      </w:pPr>
      <w:r>
        <w:rPr>
          <w:rFonts w:ascii="Bookman Old Style" w:eastAsia="Bookman Old Style" w:hAnsi="Bookman Old Style" w:cs="Bookman Old Style"/>
          <w:b/>
        </w:rPr>
        <w:t>BARRERAS PROCESALES Y NECESIDAD DE REFORMA</w:t>
      </w:r>
    </w:p>
    <w:p w14:paraId="521E1826" w14:textId="77777777" w:rsidR="00FD0412" w:rsidRDefault="00FD0412" w:rsidP="00042D4C">
      <w:pPr>
        <w:jc w:val="both"/>
        <w:rPr>
          <w:rFonts w:ascii="Bookman Old Style" w:eastAsia="Bookman Old Style" w:hAnsi="Bookman Old Style" w:cs="Bookman Old Style"/>
        </w:rPr>
      </w:pPr>
    </w:p>
    <w:p w14:paraId="67913F85"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Obstáculos en el marco legal vigente</w:t>
      </w:r>
    </w:p>
    <w:p w14:paraId="4A3EC9BA" w14:textId="77777777" w:rsidR="00FD0412" w:rsidRDefault="00FD0412" w:rsidP="00042D4C">
      <w:pPr>
        <w:jc w:val="both"/>
        <w:rPr>
          <w:rFonts w:ascii="Bookman Old Style" w:eastAsia="Bookman Old Style" w:hAnsi="Bookman Old Style" w:cs="Bookman Old Style"/>
        </w:rPr>
      </w:pPr>
    </w:p>
    <w:p w14:paraId="65CDBA70"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El artículo 164 de la Ley 1437 de 2011 establece un plazo de caducidad de dos años para presentar demandas de reparación directa. Si bien esta disposición busca garantizar la seguridad jurídica, su aplicación estricta en casos de violaciones graves a los derechos humanos desconoce las particularidades de las víctimas de ejecuciones extrajudiciales. En muchos casos, las familias sólo adquieren conocimiento real y efectivo de la participación estatal después de vencido el plazo, lo que cierra injustamente las puertas del sistema judicial.</w:t>
      </w:r>
    </w:p>
    <w:p w14:paraId="20763AAC" w14:textId="77777777" w:rsidR="00FD0412" w:rsidRDefault="00FD0412" w:rsidP="00042D4C">
      <w:pPr>
        <w:jc w:val="both"/>
        <w:rPr>
          <w:rFonts w:ascii="Bookman Old Style" w:eastAsia="Bookman Old Style" w:hAnsi="Bookman Old Style" w:cs="Bookman Old Style"/>
        </w:rPr>
      </w:pPr>
    </w:p>
    <w:p w14:paraId="72B5A61B"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 xml:space="preserve">Esta situación no solo afecta el acceso a la justicia, sino que también vulnera el derecho a la verdad y la reparación integral de las víctimas. La falta de criterios claros sobre la aplicación de la caducidad en estos casos ha generado </w:t>
      </w:r>
      <w:r>
        <w:rPr>
          <w:rFonts w:ascii="Bookman Old Style" w:eastAsia="Bookman Old Style" w:hAnsi="Bookman Old Style" w:cs="Bookman Old Style"/>
        </w:rPr>
        <w:lastRenderedPageBreak/>
        <w:t>una jurisprudencia fragmentada, con decisiones contradictorias que incrementan la incertidumbre jurídica.</w:t>
      </w:r>
    </w:p>
    <w:p w14:paraId="3DB260E8" w14:textId="77777777" w:rsidR="00FD0412" w:rsidRDefault="00FD0412" w:rsidP="00042D4C">
      <w:pPr>
        <w:jc w:val="both"/>
        <w:rPr>
          <w:rFonts w:ascii="Bookman Old Style" w:eastAsia="Bookman Old Style" w:hAnsi="Bookman Old Style" w:cs="Bookman Old Style"/>
        </w:rPr>
      </w:pPr>
    </w:p>
    <w:p w14:paraId="7F3C6AEF"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Además, los crímenes de lesa humanidad, por su gravedad y sistematicidad, requieren un tratamiento excepcional que trascienda las limitaciones normativas tradicionales. La rigidez de las normas procesales no solo desconoce el contexto estructural de estos crímenes, sino que también impone una carga desproporcionada a las víctimas, quienes suelen enfrentarse a condiciones de vulnerabilidad y asimetría probatoria.</w:t>
      </w:r>
    </w:p>
    <w:p w14:paraId="4BDF5E0A" w14:textId="77777777" w:rsidR="00FD0412" w:rsidRDefault="00FD0412" w:rsidP="00042D4C">
      <w:pPr>
        <w:jc w:val="both"/>
        <w:rPr>
          <w:rFonts w:ascii="Bookman Old Style" w:eastAsia="Bookman Old Style" w:hAnsi="Bookman Old Style" w:cs="Bookman Old Style"/>
        </w:rPr>
      </w:pPr>
    </w:p>
    <w:p w14:paraId="5327925A" w14:textId="77777777" w:rsidR="00FD0412" w:rsidRDefault="00B868F8" w:rsidP="00042D4C">
      <w:pPr>
        <w:jc w:val="both"/>
        <w:rPr>
          <w:rFonts w:ascii="Bookman Old Style" w:eastAsia="Bookman Old Style" w:hAnsi="Bookman Old Style" w:cs="Bookman Old Style"/>
          <w:b/>
        </w:rPr>
      </w:pPr>
      <w:r>
        <w:rPr>
          <w:rFonts w:ascii="Bookman Old Style" w:eastAsia="Bookman Old Style" w:hAnsi="Bookman Old Style" w:cs="Bookman Old Style"/>
        </w:rPr>
        <w:t>Por otro lado, la aplicación uniforme de los términos de caducidad no considera las particularidades de cada caso. En muchos casos, las familias de las víctimas enfrentan serios obstáculos para recolectar pruebas debido a la falta de acceso a la información, las amenazas a su seguridad y la desconfianza en las instituciones del Estado, lo que profundiza la desigualdad y la exclusión en el acceso a la justicia.</w:t>
      </w:r>
    </w:p>
    <w:p w14:paraId="3026760A" w14:textId="77777777" w:rsidR="00FD0412" w:rsidRDefault="00FD0412" w:rsidP="00042D4C">
      <w:pPr>
        <w:jc w:val="both"/>
        <w:rPr>
          <w:rFonts w:ascii="Bookman Old Style" w:eastAsia="Bookman Old Style" w:hAnsi="Bookman Old Style" w:cs="Bookman Old Style"/>
          <w:b/>
        </w:rPr>
      </w:pPr>
      <w:bookmarkStart w:id="5" w:name="_heading=h.oayaewkzdg5n" w:colFirst="0" w:colLast="0"/>
      <w:bookmarkEnd w:id="5"/>
    </w:p>
    <w:p w14:paraId="4E8B3453" w14:textId="77777777" w:rsidR="00FD0412" w:rsidRDefault="00FD0412" w:rsidP="00042D4C">
      <w:pPr>
        <w:jc w:val="both"/>
        <w:rPr>
          <w:rFonts w:ascii="Bookman Old Style" w:eastAsia="Bookman Old Style" w:hAnsi="Bookman Old Style" w:cs="Bookman Old Style"/>
          <w:b/>
        </w:rPr>
      </w:pPr>
      <w:bookmarkStart w:id="6" w:name="_heading=h.n2dx452gmxje" w:colFirst="0" w:colLast="0"/>
      <w:bookmarkEnd w:id="6"/>
    </w:p>
    <w:p w14:paraId="4D63340F" w14:textId="77777777" w:rsidR="00FD0412" w:rsidRDefault="00B868F8" w:rsidP="00042D4C">
      <w:pPr>
        <w:jc w:val="both"/>
        <w:rPr>
          <w:rFonts w:ascii="Bookman Old Style" w:eastAsia="Bookman Old Style" w:hAnsi="Bookman Old Style" w:cs="Bookman Old Style"/>
          <w:b/>
        </w:rPr>
      </w:pPr>
      <w:bookmarkStart w:id="7" w:name="_heading=h.a9tmw5hmzrnk" w:colFirst="0" w:colLast="0"/>
      <w:bookmarkEnd w:id="7"/>
      <w:r>
        <w:rPr>
          <w:rFonts w:ascii="Bookman Old Style" w:eastAsia="Bookman Old Style" w:hAnsi="Bookman Old Style" w:cs="Bookman Old Style"/>
          <w:b/>
        </w:rPr>
        <w:t xml:space="preserve">4. Marco Constitucional, Legal y Jurisprudencial.  </w:t>
      </w:r>
    </w:p>
    <w:p w14:paraId="71D11078" w14:textId="77777777" w:rsidR="00FD0412" w:rsidRDefault="00FD0412" w:rsidP="00042D4C">
      <w:pPr>
        <w:rPr>
          <w:rFonts w:ascii="Bookman Old Style" w:eastAsia="Bookman Old Style" w:hAnsi="Bookman Old Style" w:cs="Bookman Old Style"/>
        </w:rPr>
      </w:pPr>
    </w:p>
    <w:p w14:paraId="7C71B072" w14:textId="77777777" w:rsidR="00FD0412" w:rsidRDefault="00B868F8" w:rsidP="00042D4C">
      <w:pPr>
        <w:numPr>
          <w:ilvl w:val="0"/>
          <w:numId w:val="2"/>
        </w:numPr>
        <w:jc w:val="both"/>
        <w:rPr>
          <w:rFonts w:ascii="Bookman Old Style" w:eastAsia="Bookman Old Style" w:hAnsi="Bookman Old Style" w:cs="Bookman Old Style"/>
          <w:b/>
        </w:rPr>
      </w:pPr>
      <w:r>
        <w:rPr>
          <w:rFonts w:ascii="Bookman Old Style" w:eastAsia="Bookman Old Style" w:hAnsi="Bookman Old Style" w:cs="Bookman Old Style"/>
          <w:b/>
          <w:highlight w:val="white"/>
        </w:rPr>
        <w:t>Constitución Política de 1991</w:t>
      </w:r>
    </w:p>
    <w:p w14:paraId="308AF223" w14:textId="77777777" w:rsidR="00FD0412" w:rsidRDefault="00FD0412" w:rsidP="00042D4C">
      <w:pPr>
        <w:jc w:val="both"/>
        <w:rPr>
          <w:rFonts w:ascii="Bookman Old Style" w:eastAsia="Bookman Old Style" w:hAnsi="Bookman Old Style" w:cs="Bookman Old Style"/>
          <w:b/>
        </w:rPr>
      </w:pPr>
    </w:p>
    <w:p w14:paraId="5D77F1C5" w14:textId="77777777" w:rsidR="00FD0412" w:rsidRDefault="00B868F8" w:rsidP="00042D4C">
      <w:pPr>
        <w:ind w:left="284"/>
        <w:jc w:val="both"/>
        <w:rPr>
          <w:rFonts w:ascii="Times New Roman" w:eastAsia="Times New Roman" w:hAnsi="Times New Roman" w:cs="Times New Roman"/>
        </w:rPr>
      </w:pPr>
      <w:r>
        <w:rPr>
          <w:rFonts w:ascii="Bookman Old Style" w:eastAsia="Bookman Old Style" w:hAnsi="Bookman Old Style" w:cs="Bookman Old Style"/>
          <w:b/>
          <w:i/>
        </w:rPr>
        <w:t>“ARTÍCULO 114.</w:t>
      </w:r>
      <w:r>
        <w:rPr>
          <w:rFonts w:ascii="Bookman Old Style" w:eastAsia="Bookman Old Style" w:hAnsi="Bookman Old Style" w:cs="Bookman Old Style"/>
          <w:i/>
        </w:rPr>
        <w:t xml:space="preserve"> Corresponde al Congreso de la República reformar la Constitución, hacer las leyes y ejercer control político sobre el gobierno y la administración.</w:t>
      </w:r>
    </w:p>
    <w:p w14:paraId="5D82F03A" w14:textId="77777777" w:rsidR="00FD0412" w:rsidRDefault="00FD0412" w:rsidP="00042D4C">
      <w:pPr>
        <w:rPr>
          <w:rFonts w:ascii="Times New Roman" w:eastAsia="Times New Roman" w:hAnsi="Times New Roman" w:cs="Times New Roman"/>
        </w:rPr>
      </w:pPr>
    </w:p>
    <w:p w14:paraId="0346BCDD" w14:textId="77777777" w:rsidR="00FD0412" w:rsidRDefault="00B868F8" w:rsidP="00042D4C">
      <w:pPr>
        <w:ind w:left="284"/>
        <w:jc w:val="both"/>
        <w:rPr>
          <w:rFonts w:ascii="Times New Roman" w:eastAsia="Times New Roman" w:hAnsi="Times New Roman" w:cs="Times New Roman"/>
        </w:rPr>
      </w:pPr>
      <w:r>
        <w:rPr>
          <w:rFonts w:ascii="Bookman Old Style" w:eastAsia="Bookman Old Style" w:hAnsi="Bookman Old Style" w:cs="Bookman Old Style"/>
          <w:i/>
        </w:rPr>
        <w:t>El Congreso de la República, estará integrado por el Senado y la Cámara de Representantes.”</w:t>
      </w:r>
    </w:p>
    <w:p w14:paraId="4BC80AF4" w14:textId="77777777" w:rsidR="00FD0412" w:rsidRDefault="00FD0412" w:rsidP="00042D4C">
      <w:pPr>
        <w:rPr>
          <w:rFonts w:ascii="Times New Roman" w:eastAsia="Times New Roman" w:hAnsi="Times New Roman" w:cs="Times New Roman"/>
        </w:rPr>
      </w:pPr>
    </w:p>
    <w:p w14:paraId="545913F9" w14:textId="77777777" w:rsidR="00FD0412" w:rsidRDefault="00B868F8" w:rsidP="00042D4C">
      <w:pPr>
        <w:ind w:left="284"/>
        <w:jc w:val="both"/>
        <w:rPr>
          <w:rFonts w:ascii="Times New Roman" w:eastAsia="Times New Roman" w:hAnsi="Times New Roman" w:cs="Times New Roman"/>
        </w:rPr>
      </w:pPr>
      <w:r>
        <w:rPr>
          <w:rFonts w:ascii="Bookman Old Style" w:eastAsia="Bookman Old Style" w:hAnsi="Bookman Old Style" w:cs="Bookman Old Style"/>
          <w:b/>
          <w:i/>
        </w:rPr>
        <w:t>“ARTÍCULO 150.</w:t>
      </w:r>
      <w:r>
        <w:rPr>
          <w:rFonts w:ascii="Bookman Old Style" w:eastAsia="Bookman Old Style" w:hAnsi="Bookman Old Style" w:cs="Bookman Old Style"/>
          <w:i/>
        </w:rPr>
        <w:t xml:space="preserve"> Corresponde al Congreso hacer las leyes. Por medio de ellas ejerce las siguientes funciones:</w:t>
      </w:r>
    </w:p>
    <w:p w14:paraId="7860266C" w14:textId="77777777" w:rsidR="00FD0412" w:rsidRDefault="00FD0412" w:rsidP="00042D4C">
      <w:pPr>
        <w:rPr>
          <w:rFonts w:ascii="Times New Roman" w:eastAsia="Times New Roman" w:hAnsi="Times New Roman" w:cs="Times New Roman"/>
        </w:rPr>
      </w:pPr>
    </w:p>
    <w:p w14:paraId="1BAEFDD0" w14:textId="77777777" w:rsidR="00FD0412" w:rsidRDefault="00B868F8" w:rsidP="00042D4C">
      <w:pPr>
        <w:ind w:left="284"/>
        <w:jc w:val="both"/>
        <w:rPr>
          <w:rFonts w:ascii="Times New Roman" w:eastAsia="Times New Roman" w:hAnsi="Times New Roman" w:cs="Times New Roman"/>
        </w:rPr>
      </w:pPr>
      <w:r>
        <w:rPr>
          <w:rFonts w:ascii="Bookman Old Style" w:eastAsia="Bookman Old Style" w:hAnsi="Bookman Old Style" w:cs="Bookman Old Style"/>
          <w:i/>
        </w:rPr>
        <w:t>1. Interpretar, reformar y derogar las leyes. </w:t>
      </w:r>
    </w:p>
    <w:p w14:paraId="234BE2B7" w14:textId="77777777" w:rsidR="00FD0412" w:rsidRDefault="00B868F8" w:rsidP="00042D4C">
      <w:pPr>
        <w:ind w:left="284"/>
        <w:jc w:val="both"/>
        <w:rPr>
          <w:rFonts w:ascii="Times New Roman" w:eastAsia="Times New Roman" w:hAnsi="Times New Roman" w:cs="Times New Roman"/>
        </w:rPr>
      </w:pPr>
      <w:r>
        <w:rPr>
          <w:rFonts w:ascii="Bookman Old Style" w:eastAsia="Bookman Old Style" w:hAnsi="Bookman Old Style" w:cs="Bookman Old Style"/>
          <w:i/>
        </w:rPr>
        <w:t>2. Expedir códigos en todos los ramos de la legislación y reformar sus disposiciones. </w:t>
      </w:r>
    </w:p>
    <w:p w14:paraId="31454B44" w14:textId="77777777" w:rsidR="00FD0412" w:rsidRDefault="00B868F8" w:rsidP="00042D4C">
      <w:pPr>
        <w:ind w:left="284"/>
        <w:jc w:val="both"/>
        <w:rPr>
          <w:rFonts w:ascii="Times New Roman" w:eastAsia="Times New Roman" w:hAnsi="Times New Roman" w:cs="Times New Roman"/>
        </w:rPr>
      </w:pPr>
      <w:r>
        <w:rPr>
          <w:rFonts w:ascii="Bookman Old Style" w:eastAsia="Bookman Old Style" w:hAnsi="Bookman Old Style" w:cs="Bookman Old Style"/>
          <w:i/>
        </w:rPr>
        <w:t>3. Aprobar el plan nacional de desarrollo y de inversiones públicas que hayan de emprenderse o continuarse, con la determinación de los recursos y apropiaciones que se autoricen para su ejecución, y las medidas necesarias para impulsar el cumplimiento de los mismos. </w:t>
      </w:r>
    </w:p>
    <w:p w14:paraId="4A653FCD" w14:textId="77777777" w:rsidR="00FD0412" w:rsidRDefault="00B868F8" w:rsidP="00042D4C">
      <w:pPr>
        <w:ind w:left="284"/>
        <w:jc w:val="both"/>
        <w:rPr>
          <w:rFonts w:ascii="Times New Roman" w:eastAsia="Times New Roman" w:hAnsi="Times New Roman" w:cs="Times New Roman"/>
        </w:rPr>
      </w:pPr>
      <w:r>
        <w:rPr>
          <w:rFonts w:ascii="Bookman Old Style" w:eastAsia="Bookman Old Style" w:hAnsi="Bookman Old Style" w:cs="Bookman Old Style"/>
          <w:i/>
        </w:rPr>
        <w:t>4. Definir la división general del territorio con arreglo a lo previsto en esta Constitución, fijar las bases y condiciones para crear, eliminar, modificar o fusionar entidades territoriales y establecer sus competencias.</w:t>
      </w:r>
    </w:p>
    <w:p w14:paraId="294D7BFB" w14:textId="77777777" w:rsidR="00FD0412" w:rsidRDefault="00FD0412" w:rsidP="00042D4C">
      <w:pPr>
        <w:rPr>
          <w:rFonts w:ascii="Times New Roman" w:eastAsia="Times New Roman" w:hAnsi="Times New Roman" w:cs="Times New Roman"/>
        </w:rPr>
      </w:pPr>
    </w:p>
    <w:p w14:paraId="1C9A243A" w14:textId="77777777" w:rsidR="00FD0412" w:rsidRDefault="00B868F8" w:rsidP="00042D4C">
      <w:pPr>
        <w:ind w:left="284"/>
        <w:jc w:val="both"/>
        <w:rPr>
          <w:rFonts w:ascii="Bookman Old Style" w:eastAsia="Bookman Old Style" w:hAnsi="Bookman Old Style" w:cs="Bookman Old Style"/>
          <w:i/>
        </w:rPr>
      </w:pPr>
      <w:r>
        <w:rPr>
          <w:rFonts w:ascii="Bookman Old Style" w:eastAsia="Bookman Old Style" w:hAnsi="Bookman Old Style" w:cs="Bookman Old Style"/>
          <w:i/>
        </w:rPr>
        <w:lastRenderedPageBreak/>
        <w:t>(…)”</w:t>
      </w:r>
    </w:p>
    <w:p w14:paraId="606C88F4" w14:textId="77777777" w:rsidR="00FD0412" w:rsidRDefault="00FD0412" w:rsidP="00042D4C">
      <w:pPr>
        <w:jc w:val="both"/>
        <w:rPr>
          <w:rFonts w:ascii="Times New Roman" w:eastAsia="Times New Roman" w:hAnsi="Times New Roman" w:cs="Times New Roman"/>
        </w:rPr>
      </w:pPr>
    </w:p>
    <w:p w14:paraId="3ECEE836" w14:textId="77777777" w:rsidR="00FD0412" w:rsidRDefault="00FD0412" w:rsidP="00042D4C">
      <w:pPr>
        <w:jc w:val="both"/>
        <w:rPr>
          <w:rFonts w:ascii="Bookman Old Style" w:eastAsia="Bookman Old Style" w:hAnsi="Bookman Old Style" w:cs="Bookman Old Style"/>
          <w:b/>
        </w:rPr>
      </w:pPr>
    </w:p>
    <w:p w14:paraId="22AF24DA" w14:textId="77777777" w:rsidR="00FD0412" w:rsidRDefault="00B868F8" w:rsidP="00042D4C">
      <w:pPr>
        <w:numPr>
          <w:ilvl w:val="0"/>
          <w:numId w:val="2"/>
        </w:numPr>
        <w:jc w:val="both"/>
        <w:rPr>
          <w:rFonts w:ascii="Bookman Old Style" w:eastAsia="Bookman Old Style" w:hAnsi="Bookman Old Style" w:cs="Bookman Old Style"/>
          <w:b/>
        </w:rPr>
      </w:pPr>
      <w:r>
        <w:rPr>
          <w:rFonts w:ascii="Bookman Old Style" w:eastAsia="Bookman Old Style" w:hAnsi="Bookman Old Style" w:cs="Bookman Old Style"/>
          <w:b/>
        </w:rPr>
        <w:t>LEGAL</w:t>
      </w:r>
    </w:p>
    <w:p w14:paraId="342592BE" w14:textId="77777777" w:rsidR="00FD0412" w:rsidRDefault="00FD0412" w:rsidP="00042D4C">
      <w:pPr>
        <w:jc w:val="both"/>
        <w:rPr>
          <w:rFonts w:ascii="Bookman Old Style" w:eastAsia="Bookman Old Style" w:hAnsi="Bookman Old Style" w:cs="Bookman Old Style"/>
          <w:b/>
        </w:rPr>
      </w:pPr>
    </w:p>
    <w:p w14:paraId="207B4ACF" w14:textId="77777777" w:rsidR="00FD0412" w:rsidRDefault="00B868F8" w:rsidP="00042D4C">
      <w:pPr>
        <w:numPr>
          <w:ilvl w:val="0"/>
          <w:numId w:val="4"/>
        </w:numPr>
        <w:ind w:left="426"/>
        <w:jc w:val="both"/>
        <w:rPr>
          <w:rFonts w:ascii="Bookman Old Style" w:eastAsia="Bookman Old Style" w:hAnsi="Bookman Old Style" w:cs="Bookman Old Style"/>
          <w:b/>
          <w:sz w:val="20"/>
          <w:szCs w:val="20"/>
        </w:rPr>
      </w:pPr>
      <w:r>
        <w:rPr>
          <w:rFonts w:ascii="Bookman Old Style" w:eastAsia="Bookman Old Style" w:hAnsi="Bookman Old Style" w:cs="Bookman Old Style"/>
          <w:b/>
        </w:rPr>
        <w:t>LEY 5 DE 1992. Por la cual se expide el Reglamento del Congreso</w:t>
      </w:r>
    </w:p>
    <w:p w14:paraId="34F19B20" w14:textId="77777777" w:rsidR="00FD0412" w:rsidRDefault="00B868F8" w:rsidP="00042D4C">
      <w:pPr>
        <w:ind w:left="567" w:right="4"/>
        <w:jc w:val="both"/>
        <w:rPr>
          <w:rFonts w:ascii="Times New Roman" w:eastAsia="Times New Roman" w:hAnsi="Times New Roman" w:cs="Times New Roman"/>
        </w:rPr>
      </w:pPr>
      <w:r>
        <w:rPr>
          <w:rFonts w:ascii="Bookman Old Style" w:eastAsia="Bookman Old Style" w:hAnsi="Bookman Old Style" w:cs="Bookman Old Style"/>
          <w:b/>
          <w:i/>
        </w:rPr>
        <w:t>“ARTÍCULO  6°.</w:t>
      </w:r>
      <w:r>
        <w:rPr>
          <w:rFonts w:ascii="Bookman Old Style" w:eastAsia="Bookman Old Style" w:hAnsi="Bookman Old Style" w:cs="Bookman Old Style"/>
          <w:i/>
        </w:rPr>
        <w:t xml:space="preserve"> Clases de funciones del Congreso. El Congreso de la República cumple:</w:t>
      </w:r>
    </w:p>
    <w:p w14:paraId="33D8EFBF" w14:textId="77777777" w:rsidR="00FD0412" w:rsidRDefault="00FD0412" w:rsidP="00042D4C">
      <w:pPr>
        <w:ind w:left="567"/>
        <w:rPr>
          <w:rFonts w:ascii="Times New Roman" w:eastAsia="Times New Roman" w:hAnsi="Times New Roman" w:cs="Times New Roman"/>
        </w:rPr>
      </w:pPr>
    </w:p>
    <w:p w14:paraId="2472330D" w14:textId="77777777" w:rsidR="00FD0412" w:rsidRDefault="00B868F8" w:rsidP="00042D4C">
      <w:pPr>
        <w:ind w:left="567" w:right="1325"/>
        <w:jc w:val="both"/>
        <w:rPr>
          <w:rFonts w:ascii="Times New Roman" w:eastAsia="Times New Roman" w:hAnsi="Times New Roman" w:cs="Times New Roman"/>
        </w:rPr>
      </w:pPr>
      <w:r>
        <w:rPr>
          <w:rFonts w:ascii="Bookman Old Style" w:eastAsia="Bookman Old Style" w:hAnsi="Bookman Old Style" w:cs="Bookman Old Style"/>
          <w:i/>
        </w:rPr>
        <w:t>(…)</w:t>
      </w:r>
    </w:p>
    <w:p w14:paraId="4C1D4A32" w14:textId="77777777" w:rsidR="00FD0412" w:rsidRDefault="00FD0412" w:rsidP="00042D4C">
      <w:pPr>
        <w:ind w:left="567"/>
        <w:rPr>
          <w:rFonts w:ascii="Times New Roman" w:eastAsia="Times New Roman" w:hAnsi="Times New Roman" w:cs="Times New Roman"/>
        </w:rPr>
      </w:pPr>
    </w:p>
    <w:p w14:paraId="1AB43D27" w14:textId="77777777" w:rsidR="00FD0412" w:rsidRDefault="00B868F8" w:rsidP="00042D4C">
      <w:pPr>
        <w:ind w:left="567" w:right="4"/>
        <w:jc w:val="both"/>
        <w:rPr>
          <w:rFonts w:ascii="Times New Roman" w:eastAsia="Times New Roman" w:hAnsi="Times New Roman" w:cs="Times New Roman"/>
        </w:rPr>
      </w:pPr>
      <w:r>
        <w:rPr>
          <w:rFonts w:ascii="Bookman Old Style" w:eastAsia="Bookman Old Style" w:hAnsi="Bookman Old Style" w:cs="Bookman Old Style"/>
          <w:i/>
        </w:rPr>
        <w:t>2. Función legislativa, para elaborar, interpretar, reformar y derogar las leyes y códigos en todos los ramos de la legislación.</w:t>
      </w:r>
      <w:r>
        <w:rPr>
          <w:rFonts w:ascii="Bookman Old Style" w:eastAsia="Bookman Old Style" w:hAnsi="Bookman Old Style" w:cs="Bookman Old Style"/>
        </w:rPr>
        <w:t> </w:t>
      </w:r>
    </w:p>
    <w:p w14:paraId="0F9AC49B" w14:textId="77777777" w:rsidR="00FD0412" w:rsidRDefault="00FD0412" w:rsidP="00042D4C">
      <w:pPr>
        <w:ind w:left="567"/>
        <w:rPr>
          <w:rFonts w:ascii="Times New Roman" w:eastAsia="Times New Roman" w:hAnsi="Times New Roman" w:cs="Times New Roman"/>
        </w:rPr>
      </w:pPr>
    </w:p>
    <w:p w14:paraId="3F753411" w14:textId="77777777" w:rsidR="00FD0412" w:rsidRDefault="00B868F8" w:rsidP="00042D4C">
      <w:pPr>
        <w:ind w:left="567" w:right="4"/>
        <w:jc w:val="both"/>
        <w:rPr>
          <w:rFonts w:ascii="Times New Roman" w:eastAsia="Times New Roman" w:hAnsi="Times New Roman" w:cs="Times New Roman"/>
        </w:rPr>
      </w:pPr>
      <w:r>
        <w:rPr>
          <w:rFonts w:ascii="Bookman Old Style" w:eastAsia="Bookman Old Style" w:hAnsi="Bookman Old Style" w:cs="Bookman Old Style"/>
        </w:rPr>
        <w:t>(…)”</w:t>
      </w:r>
    </w:p>
    <w:p w14:paraId="0E5B4E24" w14:textId="77777777" w:rsidR="00FD0412" w:rsidRDefault="00FD0412" w:rsidP="00042D4C">
      <w:pPr>
        <w:ind w:left="567"/>
        <w:rPr>
          <w:rFonts w:ascii="Times New Roman" w:eastAsia="Times New Roman" w:hAnsi="Times New Roman" w:cs="Times New Roman"/>
        </w:rPr>
      </w:pPr>
    </w:p>
    <w:p w14:paraId="5FD16603" w14:textId="77777777" w:rsidR="00FD0412" w:rsidRDefault="00B868F8" w:rsidP="00042D4C">
      <w:pPr>
        <w:ind w:left="567" w:right="4"/>
        <w:jc w:val="both"/>
        <w:rPr>
          <w:rFonts w:ascii="Times New Roman" w:eastAsia="Times New Roman" w:hAnsi="Times New Roman" w:cs="Times New Roman"/>
        </w:rPr>
      </w:pPr>
      <w:r>
        <w:rPr>
          <w:rFonts w:ascii="Bookman Old Style" w:eastAsia="Bookman Old Style" w:hAnsi="Bookman Old Style" w:cs="Bookman Old Style"/>
          <w:b/>
          <w:i/>
        </w:rPr>
        <w:t xml:space="preserve">ARTÍCULO 139. </w:t>
      </w:r>
      <w:r>
        <w:rPr>
          <w:rFonts w:ascii="Bookman Old Style" w:eastAsia="Bookman Old Style" w:hAnsi="Bookman Old Style" w:cs="Bookman Old Style"/>
          <w:i/>
        </w:rPr>
        <w:t>Presentación de proyectos. Los proyectos de ley podrán presentarse en la Secretaría General de las Cámaras o en sus plenarias.</w:t>
      </w:r>
    </w:p>
    <w:p w14:paraId="7F435DFF" w14:textId="77777777" w:rsidR="00FD0412" w:rsidRDefault="00B868F8" w:rsidP="00042D4C">
      <w:pPr>
        <w:ind w:left="567" w:right="4"/>
        <w:jc w:val="both"/>
        <w:rPr>
          <w:rFonts w:ascii="Times New Roman" w:eastAsia="Times New Roman" w:hAnsi="Times New Roman" w:cs="Times New Roman"/>
        </w:rPr>
      </w:pPr>
      <w:r>
        <w:rPr>
          <w:rFonts w:ascii="Bookman Old Style" w:eastAsia="Bookman Old Style" w:hAnsi="Bookman Old Style" w:cs="Bookman Old Style"/>
          <w:b/>
          <w:i/>
        </w:rPr>
        <w:t> </w:t>
      </w:r>
    </w:p>
    <w:p w14:paraId="567A08D4" w14:textId="77777777" w:rsidR="00FD0412" w:rsidRDefault="00B868F8" w:rsidP="00042D4C">
      <w:pPr>
        <w:ind w:left="567" w:right="4"/>
        <w:jc w:val="both"/>
        <w:rPr>
          <w:rFonts w:ascii="Times New Roman" w:eastAsia="Times New Roman" w:hAnsi="Times New Roman" w:cs="Times New Roman"/>
        </w:rPr>
      </w:pPr>
      <w:r>
        <w:rPr>
          <w:rFonts w:ascii="Bookman Old Style" w:eastAsia="Bookman Old Style" w:hAnsi="Bookman Old Style" w:cs="Bookman Old Style"/>
          <w:b/>
          <w:i/>
        </w:rPr>
        <w:t xml:space="preserve">ARTÍCULO 140. </w:t>
      </w:r>
      <w:r>
        <w:rPr>
          <w:rFonts w:ascii="Bookman Old Style" w:eastAsia="Bookman Old Style" w:hAnsi="Bookman Old Style" w:cs="Bookman Old Style"/>
          <w:i/>
        </w:rPr>
        <w:t>Iniciativa legislativa. Pueden presentar proyectos de ley: </w:t>
      </w:r>
    </w:p>
    <w:p w14:paraId="22B19D56" w14:textId="77777777" w:rsidR="00FD0412" w:rsidRDefault="00FD0412" w:rsidP="00042D4C">
      <w:pPr>
        <w:ind w:left="567"/>
        <w:rPr>
          <w:rFonts w:ascii="Times New Roman" w:eastAsia="Times New Roman" w:hAnsi="Times New Roman" w:cs="Times New Roman"/>
        </w:rPr>
      </w:pPr>
    </w:p>
    <w:p w14:paraId="12EDAA70" w14:textId="77777777" w:rsidR="00FD0412" w:rsidRDefault="00B868F8" w:rsidP="00042D4C">
      <w:pPr>
        <w:numPr>
          <w:ilvl w:val="0"/>
          <w:numId w:val="1"/>
        </w:numPr>
        <w:ind w:left="851" w:right="4"/>
        <w:jc w:val="both"/>
        <w:rPr>
          <w:rFonts w:ascii="Bookman Old Style" w:eastAsia="Bookman Old Style" w:hAnsi="Bookman Old Style" w:cs="Bookman Old Style"/>
          <w:i/>
        </w:rPr>
      </w:pPr>
      <w:r>
        <w:rPr>
          <w:rFonts w:ascii="Bookman Old Style" w:eastAsia="Bookman Old Style" w:hAnsi="Bookman Old Style" w:cs="Bookman Old Style"/>
          <w:i/>
        </w:rPr>
        <w:t>Los Senadores y Representantes a la Cámara individualmente y a través de las bancadas.</w:t>
      </w:r>
    </w:p>
    <w:p w14:paraId="42B03506" w14:textId="77777777" w:rsidR="00FD0412" w:rsidRDefault="00FD0412" w:rsidP="00042D4C">
      <w:pPr>
        <w:ind w:left="567"/>
        <w:rPr>
          <w:rFonts w:ascii="Times New Roman" w:eastAsia="Times New Roman" w:hAnsi="Times New Roman" w:cs="Times New Roman"/>
        </w:rPr>
      </w:pPr>
    </w:p>
    <w:p w14:paraId="7CEEF2B4" w14:textId="77777777" w:rsidR="00FD0412" w:rsidRDefault="00B868F8" w:rsidP="00042D4C">
      <w:pPr>
        <w:ind w:left="567" w:right="4"/>
        <w:jc w:val="both"/>
        <w:rPr>
          <w:rFonts w:ascii="Times New Roman" w:eastAsia="Times New Roman" w:hAnsi="Times New Roman" w:cs="Times New Roman"/>
        </w:rPr>
      </w:pPr>
      <w:r>
        <w:rPr>
          <w:rFonts w:ascii="Bookman Old Style" w:eastAsia="Bookman Old Style" w:hAnsi="Bookman Old Style" w:cs="Bookman Old Style"/>
        </w:rPr>
        <w:t>(…)”</w:t>
      </w:r>
    </w:p>
    <w:p w14:paraId="75E1E730" w14:textId="77777777" w:rsidR="00FD0412" w:rsidRDefault="00FD0412" w:rsidP="00042D4C">
      <w:pPr>
        <w:pBdr>
          <w:top w:val="nil"/>
          <w:left w:val="nil"/>
          <w:bottom w:val="nil"/>
          <w:right w:val="nil"/>
          <w:between w:val="nil"/>
        </w:pBdr>
        <w:ind w:left="720"/>
        <w:jc w:val="both"/>
        <w:rPr>
          <w:rFonts w:ascii="Bookman Old Style" w:eastAsia="Bookman Old Style" w:hAnsi="Bookman Old Style" w:cs="Bookman Old Style"/>
        </w:rPr>
      </w:pPr>
    </w:p>
    <w:p w14:paraId="766F09C1" w14:textId="77777777" w:rsidR="00FD0412" w:rsidRDefault="00B868F8" w:rsidP="00042D4C">
      <w:pPr>
        <w:numPr>
          <w:ilvl w:val="0"/>
          <w:numId w:val="2"/>
        </w:numPr>
        <w:pBdr>
          <w:top w:val="nil"/>
          <w:left w:val="nil"/>
          <w:bottom w:val="nil"/>
          <w:right w:val="nil"/>
          <w:between w:val="nil"/>
        </w:pBdr>
        <w:ind w:left="0" w:firstLine="0"/>
        <w:jc w:val="both"/>
        <w:rPr>
          <w:rFonts w:ascii="Bookman Old Style" w:eastAsia="Bookman Old Style" w:hAnsi="Bookman Old Style" w:cs="Bookman Old Style"/>
        </w:rPr>
      </w:pPr>
      <w:r>
        <w:rPr>
          <w:rFonts w:ascii="Bookman Old Style" w:eastAsia="Bookman Old Style" w:hAnsi="Bookman Old Style" w:cs="Bookman Old Style"/>
          <w:b/>
        </w:rPr>
        <w:t>JURISPRUDENCIAL</w:t>
      </w:r>
    </w:p>
    <w:p w14:paraId="1CD631EB" w14:textId="77777777" w:rsidR="00FD0412" w:rsidRDefault="00FD0412" w:rsidP="00042D4C">
      <w:pPr>
        <w:pBdr>
          <w:top w:val="nil"/>
          <w:left w:val="nil"/>
          <w:bottom w:val="nil"/>
          <w:right w:val="nil"/>
          <w:between w:val="nil"/>
        </w:pBdr>
        <w:jc w:val="both"/>
        <w:rPr>
          <w:rFonts w:ascii="Bookman Old Style" w:eastAsia="Bookman Old Style" w:hAnsi="Bookman Old Style" w:cs="Bookman Old Style"/>
          <w:b/>
        </w:rPr>
      </w:pPr>
    </w:p>
    <w:p w14:paraId="6045C123" w14:textId="77777777" w:rsidR="00FD0412" w:rsidRDefault="00B868F8" w:rsidP="00042D4C">
      <w:pPr>
        <w:numPr>
          <w:ilvl w:val="0"/>
          <w:numId w:val="3"/>
        </w:numPr>
        <w:jc w:val="both"/>
        <w:rPr>
          <w:rFonts w:ascii="Bookman Old Style" w:eastAsia="Bookman Old Style" w:hAnsi="Bookman Old Style" w:cs="Bookman Old Style"/>
          <w:b/>
        </w:rPr>
      </w:pPr>
      <w:r>
        <w:rPr>
          <w:rFonts w:ascii="Bookman Old Style" w:eastAsia="Bookman Old Style" w:hAnsi="Bookman Old Style" w:cs="Bookman Old Style"/>
          <w:b/>
        </w:rPr>
        <w:t xml:space="preserve">Sentencia de unificación del 29 de enero de 2020, con radicado 85001-33-33-002-2014-00144-01 </w:t>
      </w:r>
    </w:p>
    <w:p w14:paraId="6F0F4177" w14:textId="77777777" w:rsidR="00FD0412" w:rsidRDefault="00FD0412" w:rsidP="00042D4C">
      <w:pPr>
        <w:jc w:val="both"/>
        <w:rPr>
          <w:rFonts w:ascii="Bookman Old Style" w:eastAsia="Bookman Old Style" w:hAnsi="Bookman Old Style" w:cs="Bookman Old Style"/>
          <w:i/>
        </w:rPr>
      </w:pPr>
    </w:p>
    <w:p w14:paraId="374F65B2"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La Sala Plena del Consejo de Estado, abordó la caducidad del medio de control de reparación directa en casos relacionados con delitos de lesa humanidad. El Consejo de Estado se apoyó en varias normas y argumentó la necesidad de aplicar las reglas de caducidad establecidas por el legislador, alejándose de la postura sobre la imprescriptibilidad.</w:t>
      </w:r>
    </w:p>
    <w:p w14:paraId="7BFD340E" w14:textId="77777777" w:rsidR="00FD0412" w:rsidRDefault="00FD0412" w:rsidP="00042D4C">
      <w:pPr>
        <w:jc w:val="both"/>
        <w:rPr>
          <w:rFonts w:ascii="Bookman Old Style" w:eastAsia="Bookman Old Style" w:hAnsi="Bookman Old Style" w:cs="Bookman Old Style"/>
        </w:rPr>
      </w:pPr>
    </w:p>
    <w:p w14:paraId="3BC2E77C"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 xml:space="preserve">El Consejo de Estado estableció que la acción de reparación directa debía ejercerse dentro de los dos años siguientes al conocimiento del hecho dañoso, tal como lo establece el numeral 8 del artículo 136 del Código Contencioso Administrativo (C.C.A.), norma vigente en la época de los hechos que eran objeto de juzgamiento. Esta regla se aplica incluso en los casos de delitos de </w:t>
      </w:r>
      <w:r>
        <w:rPr>
          <w:rFonts w:ascii="Bookman Old Style" w:eastAsia="Bookman Old Style" w:hAnsi="Bookman Old Style" w:cs="Bookman Old Style"/>
        </w:rPr>
        <w:lastRenderedPageBreak/>
        <w:t>lesa humanidad, con la excepción de la desaparición forzada, que tiene una regulación específica.</w:t>
      </w:r>
    </w:p>
    <w:p w14:paraId="3F375730" w14:textId="77777777" w:rsidR="00FD0412" w:rsidRDefault="00FD0412" w:rsidP="00042D4C">
      <w:pPr>
        <w:jc w:val="both"/>
        <w:rPr>
          <w:rFonts w:ascii="Bookman Old Style" w:eastAsia="Bookman Old Style" w:hAnsi="Bookman Old Style" w:cs="Bookman Old Style"/>
        </w:rPr>
      </w:pPr>
    </w:p>
    <w:p w14:paraId="4918AFCB"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Para justificar esta postura, el Consejo de Estado argumentó que el bloque de constitucionalidad no impide que los Estados adopten sus propias reglas para el acceso a su sistema judicial. Por lo tanto, en Colombia, según esta postura, se debían aplicar las normas de caducidad internas, incluso en los casos de lesa humanidad.</w:t>
      </w:r>
    </w:p>
    <w:p w14:paraId="531CD30A" w14:textId="77777777" w:rsidR="00FD0412" w:rsidRDefault="00FD0412" w:rsidP="00042D4C">
      <w:pPr>
        <w:pBdr>
          <w:top w:val="nil"/>
          <w:left w:val="nil"/>
          <w:bottom w:val="nil"/>
          <w:right w:val="nil"/>
          <w:between w:val="nil"/>
        </w:pBdr>
        <w:jc w:val="both"/>
        <w:rPr>
          <w:rFonts w:ascii="Bookman Old Style" w:eastAsia="Bookman Old Style" w:hAnsi="Bookman Old Style" w:cs="Bookman Old Style"/>
          <w:b/>
        </w:rPr>
      </w:pPr>
    </w:p>
    <w:p w14:paraId="13D90DBD" w14:textId="77777777" w:rsidR="00FD0412" w:rsidRDefault="00B868F8" w:rsidP="00042D4C">
      <w:pPr>
        <w:numPr>
          <w:ilvl w:val="0"/>
          <w:numId w:val="2"/>
        </w:numPr>
        <w:jc w:val="both"/>
        <w:rPr>
          <w:rFonts w:ascii="Bookman Old Style" w:eastAsia="Bookman Old Style" w:hAnsi="Bookman Old Style" w:cs="Bookman Old Style"/>
          <w:b/>
        </w:rPr>
      </w:pPr>
      <w:r>
        <w:rPr>
          <w:rFonts w:ascii="Bookman Old Style" w:eastAsia="Bookman Old Style" w:hAnsi="Bookman Old Style" w:cs="Bookman Old Style"/>
          <w:b/>
        </w:rPr>
        <w:t>Sentencia del Consejo de Estado, con radicado 54001233100020100035302</w:t>
      </w:r>
    </w:p>
    <w:p w14:paraId="08F0BCBE" w14:textId="77777777" w:rsidR="00FD0412" w:rsidRDefault="00FD0412" w:rsidP="00042D4C">
      <w:pPr>
        <w:jc w:val="both"/>
        <w:rPr>
          <w:rFonts w:ascii="Bookman Old Style" w:eastAsia="Bookman Old Style" w:hAnsi="Bookman Old Style" w:cs="Bookman Old Style"/>
          <w:b/>
        </w:rPr>
      </w:pPr>
    </w:p>
    <w:p w14:paraId="16857787"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Abordó la flexibilidad de las reglas de la caducidad en relación con la reparación de daños por los falsos positivos. Este análisis se centra en cómo la jurisprudencia ha adaptado las normas de caducidad para asegurar justicia y reparación a las víctimas de violaciones graves de derechos humanos.</w:t>
      </w:r>
    </w:p>
    <w:p w14:paraId="194739DB" w14:textId="77777777" w:rsidR="00FD0412" w:rsidRDefault="00FD0412" w:rsidP="00042D4C">
      <w:pPr>
        <w:jc w:val="both"/>
        <w:rPr>
          <w:rFonts w:ascii="Bookman Old Style" w:eastAsia="Bookman Old Style" w:hAnsi="Bookman Old Style" w:cs="Bookman Old Style"/>
        </w:rPr>
      </w:pPr>
    </w:p>
    <w:p w14:paraId="5C8348CB"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En primer lugar, la sentencia destaca que, en casos de violaciones graves de derechos humanos, como los falsos positivos, la interpretación literal y estricta de los términos de caducidad puede resultar en la denegación de justicia para las víctimas. Para evitar tales consecuencias, la jurisprudencia ha adoptado un enfoque flexible, basándose en el principio de prevalencia del derecho sustancial sobre el formal (artículo 228 de la Constitución Política).</w:t>
      </w:r>
    </w:p>
    <w:p w14:paraId="338C8377" w14:textId="77777777" w:rsidR="00FD0412" w:rsidRDefault="00FD0412" w:rsidP="00042D4C">
      <w:pPr>
        <w:jc w:val="both"/>
        <w:rPr>
          <w:rFonts w:ascii="Bookman Old Style" w:eastAsia="Bookman Old Style" w:hAnsi="Bookman Old Style" w:cs="Bookman Old Style"/>
        </w:rPr>
      </w:pPr>
    </w:p>
    <w:p w14:paraId="309C3F67"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Este principio establece que el cómputo del término de caducidad debe iniciarse a partir de la fecha en que las víctimas tuvieron conocimiento del daño y de la posible responsabilidad del Estado, y no necesariamente desde la fecha en que ocurrió el hecho dañino. Esto es crucial en casos donde la naturaleza de los hechos, como los encubrimientos y las manipulaciones propias de los falsos positivos, puede demorar el conocimiento real y sustancial del daño y de los responsables por parte de las víctimas.</w:t>
      </w:r>
    </w:p>
    <w:p w14:paraId="75391DB8" w14:textId="77777777" w:rsidR="00FD0412" w:rsidRDefault="00FD0412" w:rsidP="00042D4C">
      <w:pPr>
        <w:jc w:val="both"/>
        <w:rPr>
          <w:rFonts w:ascii="Bookman Old Style" w:eastAsia="Bookman Old Style" w:hAnsi="Bookman Old Style" w:cs="Bookman Old Style"/>
        </w:rPr>
      </w:pPr>
    </w:p>
    <w:p w14:paraId="2B360ABD"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En la sentencia, se menciona que la Sección Tercera, en decisión de unificación del 29 de enero de 2020, estableció que en eventos relacionados con delitos de lesa humanidad y otros crímenes graves, el término para demandar se computa desde cuando los afectados conocieron o debieron conocer la participación del Estado y la posibilidad de imputar responsabilidad patrimonial. Además, se aclara que este plazo no se aplica cuando existen situaciones que hayan impedido materialmente el ejercicio del derecho de acción. Una vez superadas estas situaciones, comenzará a correr el plazo de ley.</w:t>
      </w:r>
    </w:p>
    <w:p w14:paraId="5346C7E8" w14:textId="77777777" w:rsidR="00FD0412" w:rsidRDefault="00FD0412" w:rsidP="00042D4C">
      <w:pPr>
        <w:jc w:val="both"/>
        <w:rPr>
          <w:rFonts w:ascii="Bookman Old Style" w:eastAsia="Bookman Old Style" w:hAnsi="Bookman Old Style" w:cs="Bookman Old Style"/>
        </w:rPr>
      </w:pPr>
    </w:p>
    <w:p w14:paraId="5D6FE18D"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Un ejemplo concreto de esta flexibilidad se observa en el caso de la muerte de </w:t>
      </w:r>
      <w:proofErr w:type="spellStart"/>
      <w:r>
        <w:rPr>
          <w:rFonts w:ascii="Bookman Old Style" w:eastAsia="Bookman Old Style" w:hAnsi="Bookman Old Style" w:cs="Bookman Old Style"/>
        </w:rPr>
        <w:t>Hermides</w:t>
      </w:r>
      <w:proofErr w:type="spellEnd"/>
      <w:r>
        <w:rPr>
          <w:rFonts w:ascii="Bookman Old Style" w:eastAsia="Bookman Old Style" w:hAnsi="Bookman Old Style" w:cs="Bookman Old Style"/>
        </w:rPr>
        <w:t xml:space="preserve"> Quintana Balaguera. Aunque sus familiares conocían de su fallecimiento desde diciembre de 2007, la certeza sobre la actuación irregular del Estado no se consolidó hasta mayo de 2009, cuando la justicia penal militar remitió el caso a la justicia ordinaria. Esta remisión fue el punto de partida para la contabilización de la caducidad, permitiendo que la demanda de reparación directa, presentada en septiembre de 2010, se considerara dentro del término legalmente previsto.</w:t>
      </w:r>
    </w:p>
    <w:p w14:paraId="282CC8FF" w14:textId="77777777" w:rsidR="00FD0412" w:rsidRDefault="00FD0412" w:rsidP="00042D4C">
      <w:pPr>
        <w:jc w:val="both"/>
        <w:rPr>
          <w:rFonts w:ascii="Bookman Old Style" w:eastAsia="Bookman Old Style" w:hAnsi="Bookman Old Style" w:cs="Bookman Old Style"/>
        </w:rPr>
      </w:pPr>
    </w:p>
    <w:p w14:paraId="5927B241"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En síntesis, la sentencia analiza cómo las reglas de caducidad se han flexibilizado en contextos de violaciones graves de derechos humanos, adaptándose para garantizar que las víctimas de falsos positivos y otros crímenes similares tengan acceso efectivo a la justicia y a la reparación de los daños sufridos. Esta flexibilidad es fundamental para asegurar que las formalidades procesales no obstruyan la realización de la justicia sustancial.</w:t>
      </w:r>
    </w:p>
    <w:p w14:paraId="62EE5CB9" w14:textId="77777777" w:rsidR="00FD0412" w:rsidRDefault="00FD0412" w:rsidP="00042D4C">
      <w:pPr>
        <w:jc w:val="both"/>
        <w:rPr>
          <w:rFonts w:ascii="Bookman Old Style" w:eastAsia="Bookman Old Style" w:hAnsi="Bookman Old Style" w:cs="Bookman Old Style"/>
        </w:rPr>
      </w:pPr>
    </w:p>
    <w:p w14:paraId="6D6821BC" w14:textId="77777777" w:rsidR="00FD0412" w:rsidRDefault="00B868F8" w:rsidP="00042D4C">
      <w:pPr>
        <w:numPr>
          <w:ilvl w:val="0"/>
          <w:numId w:val="2"/>
        </w:numPr>
        <w:jc w:val="both"/>
        <w:rPr>
          <w:rFonts w:ascii="Bookman Old Style" w:eastAsia="Bookman Old Style" w:hAnsi="Bookman Old Style" w:cs="Bookman Old Style"/>
          <w:b/>
        </w:rPr>
      </w:pPr>
      <w:r>
        <w:rPr>
          <w:rFonts w:ascii="Bookman Old Style" w:eastAsia="Bookman Old Style" w:hAnsi="Bookman Old Style" w:cs="Bookman Old Style"/>
          <w:b/>
        </w:rPr>
        <w:t xml:space="preserve">Sentencia SU-081/24 de la Corte Constitucional: </w:t>
      </w:r>
    </w:p>
    <w:p w14:paraId="4EE32527" w14:textId="77777777" w:rsidR="00FD0412" w:rsidRDefault="00FD0412" w:rsidP="00042D4C">
      <w:pPr>
        <w:jc w:val="both"/>
        <w:rPr>
          <w:rFonts w:ascii="Bookman Old Style" w:eastAsia="Bookman Old Style" w:hAnsi="Bookman Old Style" w:cs="Bookman Old Style"/>
          <w:b/>
        </w:rPr>
      </w:pPr>
    </w:p>
    <w:p w14:paraId="7B152CBF"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Esta sentencia destaca que el acceso a la justicia debe prevalecer sobre los formalismos procesales, especialmente en casos de graves violaciones a los derechos humanos. En un análisis detallado, la Corte enfatizó que la justicia material exige garantizar que las barreras procesales no perpetúen la impunidad ni vulneren los derechos fundamentales de las víctimas. Este fallo establece la obligación de los jueces de interpretar las normas procesales de manera que favorezcan la protección de los derechos humanos, en consonancia con el principio pro homine. Además, reafirma que los procedimientos judiciales deben adaptarse al contexto particular de cada caso, eliminando obstáculos formales que puedan limitar el acceso a la verdad y la justicia.</w:t>
      </w:r>
    </w:p>
    <w:p w14:paraId="76628495" w14:textId="77777777" w:rsidR="00FD0412" w:rsidRDefault="00FD0412" w:rsidP="00042D4C">
      <w:pPr>
        <w:jc w:val="both"/>
        <w:rPr>
          <w:rFonts w:ascii="Bookman Old Style" w:eastAsia="Bookman Old Style" w:hAnsi="Bookman Old Style" w:cs="Bookman Old Style"/>
        </w:rPr>
      </w:pPr>
    </w:p>
    <w:p w14:paraId="3C85493B"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En su argumentación, la Corte también subrayó la necesidad de considerar el impacto de las barreras procesales en las víctimas, quienes muchas veces enfrentan dificultades para acceder a información clave debido a la omisión o manipulación de las pruebas por parte de los responsables. La sentencia marca un precedente importante al reforzar que las normas procesales deben interpretarse de manera teleológica, garantizando que su aplicación no desvirtúe el acceso efectivo a la justicia.</w:t>
      </w:r>
    </w:p>
    <w:p w14:paraId="60573512" w14:textId="77777777" w:rsidR="00FD0412" w:rsidRDefault="00FD0412" w:rsidP="00042D4C">
      <w:pPr>
        <w:jc w:val="both"/>
        <w:rPr>
          <w:rFonts w:ascii="Bookman Old Style" w:eastAsia="Bookman Old Style" w:hAnsi="Bookman Old Style" w:cs="Bookman Old Style"/>
          <w:b/>
        </w:rPr>
      </w:pPr>
    </w:p>
    <w:p w14:paraId="0C9BEF2D" w14:textId="77777777" w:rsidR="00FD0412" w:rsidRDefault="00B868F8" w:rsidP="00042D4C">
      <w:pPr>
        <w:numPr>
          <w:ilvl w:val="0"/>
          <w:numId w:val="2"/>
        </w:numPr>
        <w:jc w:val="both"/>
        <w:rPr>
          <w:rFonts w:ascii="Bookman Old Style" w:eastAsia="Bookman Old Style" w:hAnsi="Bookman Old Style" w:cs="Bookman Old Style"/>
          <w:b/>
        </w:rPr>
      </w:pPr>
      <w:r>
        <w:rPr>
          <w:rFonts w:ascii="Bookman Old Style" w:eastAsia="Bookman Old Style" w:hAnsi="Bookman Old Style" w:cs="Bookman Old Style"/>
          <w:b/>
        </w:rPr>
        <w:t>Sentencia SU-287/24 de la Corte Constitucional:</w:t>
      </w:r>
    </w:p>
    <w:p w14:paraId="55333995" w14:textId="77777777" w:rsidR="00FD0412" w:rsidRDefault="00FD0412" w:rsidP="00042D4C">
      <w:pPr>
        <w:jc w:val="both"/>
        <w:rPr>
          <w:rFonts w:ascii="Bookman Old Style" w:eastAsia="Bookman Old Style" w:hAnsi="Bookman Old Style" w:cs="Bookman Old Style"/>
          <w:b/>
        </w:rPr>
      </w:pPr>
    </w:p>
    <w:p w14:paraId="2934F7BA"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 xml:space="preserve">En esta sentencia, la Corte profundizó en la importancia de flexibilizar las cargas probatorias en los casos relacionados con graves violaciones a los derechos humanos. Reconociendo la asimetría estructural entre las partes, el </w:t>
      </w:r>
      <w:r>
        <w:rPr>
          <w:rFonts w:ascii="Bookman Old Style" w:eastAsia="Bookman Old Style" w:hAnsi="Bookman Old Style" w:cs="Bookman Old Style"/>
        </w:rPr>
        <w:lastRenderedPageBreak/>
        <w:t>fallo determinó que los jueces deben adoptar un rol activo para equilibrar estas desigualdades. Entre las medidas destacadas, se encuentra la posibilidad de redistribuir la carga probatoria y de decretar pruebas de oficio cuando sea necesario. Estas acciones buscan garantizar que las víctimas no enfrenten cargas desproporcionadas que perpetúen la impunidad.</w:t>
      </w:r>
    </w:p>
    <w:p w14:paraId="701051F1" w14:textId="77777777" w:rsidR="00FD0412" w:rsidRDefault="00FD0412" w:rsidP="00042D4C">
      <w:pPr>
        <w:jc w:val="both"/>
        <w:rPr>
          <w:rFonts w:ascii="Bookman Old Style" w:eastAsia="Bookman Old Style" w:hAnsi="Bookman Old Style" w:cs="Bookman Old Style"/>
        </w:rPr>
      </w:pPr>
    </w:p>
    <w:p w14:paraId="3D246D4F"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La Corte también estableció que el exceso ritual manifiesto, es decir, el apego innecesario a formalidades procesales que obstaculizan la justicia debe eliminarse en estos casos. En su decisión, enfatizó que la justicia procesal no puede ser un obstáculo para la justicia material, y que los jueces deben actuar con un enfoque basado en los derechos humanos. Este fallo consolidó la doctrina de que el proceso judicial debe adaptarse a las particularidades de cada caso, especialmente en contextos de graves violaciones a los derechos fundamentales.</w:t>
      </w:r>
    </w:p>
    <w:p w14:paraId="52E22C1E" w14:textId="77777777" w:rsidR="00FD0412" w:rsidRDefault="00FD0412" w:rsidP="00042D4C">
      <w:pPr>
        <w:jc w:val="both"/>
        <w:rPr>
          <w:rFonts w:ascii="Bookman Old Style" w:eastAsia="Bookman Old Style" w:hAnsi="Bookman Old Style" w:cs="Bookman Old Style"/>
          <w:b/>
        </w:rPr>
      </w:pPr>
    </w:p>
    <w:p w14:paraId="49C36D77" w14:textId="77777777" w:rsidR="00FD0412" w:rsidRDefault="00B868F8" w:rsidP="00042D4C">
      <w:pPr>
        <w:numPr>
          <w:ilvl w:val="0"/>
          <w:numId w:val="2"/>
        </w:numPr>
        <w:jc w:val="both"/>
        <w:rPr>
          <w:rFonts w:ascii="Bookman Old Style" w:eastAsia="Bookman Old Style" w:hAnsi="Bookman Old Style" w:cs="Bookman Old Style"/>
          <w:b/>
        </w:rPr>
      </w:pPr>
      <w:r>
        <w:rPr>
          <w:rFonts w:ascii="Bookman Old Style" w:eastAsia="Bookman Old Style" w:hAnsi="Bookman Old Style" w:cs="Bookman Old Style"/>
          <w:b/>
        </w:rPr>
        <w:t xml:space="preserve">Sentencia del Consejo de Estado con Radicado 11001-03-15-000-2021-00541-00 </w:t>
      </w:r>
    </w:p>
    <w:p w14:paraId="694B3DA7" w14:textId="77777777" w:rsidR="00FD0412" w:rsidRDefault="00FD0412" w:rsidP="00042D4C">
      <w:pPr>
        <w:jc w:val="both"/>
        <w:rPr>
          <w:rFonts w:ascii="Bookman Old Style" w:eastAsia="Bookman Old Style" w:hAnsi="Bookman Old Style" w:cs="Bookman Old Style"/>
          <w:b/>
        </w:rPr>
      </w:pPr>
    </w:p>
    <w:p w14:paraId="06891E31"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En este fallo, el Consejo de Estado abordó la problemática de la caducidad en casos de crímenes de lesa humanidad, estableciendo un criterio que privilegia el conocimiento real y efectivo de los hechos por parte de las víctimas como punto de partida para el cálculo de los términos procesales. Este enfoque busca prevenir que las limitaciones procesales impidan a las víctimas acceder a la justicia.</w:t>
      </w:r>
    </w:p>
    <w:p w14:paraId="5557EE34" w14:textId="77777777" w:rsidR="00FD0412" w:rsidRDefault="00FD0412" w:rsidP="00042D4C">
      <w:pPr>
        <w:jc w:val="both"/>
        <w:rPr>
          <w:rFonts w:ascii="Bookman Old Style" w:eastAsia="Bookman Old Style" w:hAnsi="Bookman Old Style" w:cs="Bookman Old Style"/>
        </w:rPr>
      </w:pPr>
    </w:p>
    <w:p w14:paraId="295A27C5"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En particular, el Consejo enfatizó que el principio de no revictimización exige una interpretación flexible de las normas procesales, especialmente cuando las víctimas enfrentan barreras estructurales para acceder a información clave. Este fallo es significativo porque refuerza la idea de que los crímenes de lesa humanidad requieren un tratamiento excepcional en el ámbito procesal.</w:t>
      </w:r>
    </w:p>
    <w:p w14:paraId="02B4731B" w14:textId="77777777" w:rsidR="00FD0412" w:rsidRDefault="00FD0412" w:rsidP="00042D4C">
      <w:pPr>
        <w:jc w:val="both"/>
        <w:rPr>
          <w:rFonts w:ascii="Bookman Old Style" w:eastAsia="Bookman Old Style" w:hAnsi="Bookman Old Style" w:cs="Bookman Old Style"/>
          <w:b/>
        </w:rPr>
      </w:pPr>
    </w:p>
    <w:p w14:paraId="5FB091AC" w14:textId="77777777" w:rsidR="00FD0412" w:rsidRDefault="00B868F8" w:rsidP="00042D4C">
      <w:pPr>
        <w:numPr>
          <w:ilvl w:val="0"/>
          <w:numId w:val="2"/>
        </w:numPr>
        <w:jc w:val="both"/>
        <w:rPr>
          <w:rFonts w:ascii="Bookman Old Style" w:eastAsia="Bookman Old Style" w:hAnsi="Bookman Old Style" w:cs="Bookman Old Style"/>
          <w:b/>
        </w:rPr>
      </w:pPr>
      <w:r>
        <w:rPr>
          <w:rFonts w:ascii="Bookman Old Style" w:eastAsia="Bookman Old Style" w:hAnsi="Bookman Old Style" w:cs="Bookman Old Style"/>
          <w:b/>
        </w:rPr>
        <w:t>Sentencia del Consejo de Estado con Radicado 11001-03-15-000-2019-03756-00:</w:t>
      </w:r>
    </w:p>
    <w:p w14:paraId="13D15C8A" w14:textId="77777777" w:rsidR="00FD0412" w:rsidRDefault="00FD0412" w:rsidP="00042D4C">
      <w:pPr>
        <w:jc w:val="both"/>
        <w:rPr>
          <w:rFonts w:ascii="Bookman Old Style" w:eastAsia="Bookman Old Style" w:hAnsi="Bookman Old Style" w:cs="Bookman Old Style"/>
          <w:b/>
        </w:rPr>
      </w:pPr>
    </w:p>
    <w:p w14:paraId="61D7D793"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En esta sentencia, el Consejo subrayó la importancia de armonizar las normas internas con los compromisos internacionales adquiridos por Colombia. Argumentó que las barreras procesales deben eliminarse cuando se trate de crímenes atroces que afectan los principios de justicia material y reparación integral. Este fallo contribuye a establecer un marco de referencia para la aplicación de la justicia en contextos de graves violaciones a los derechos humanos, reafirmando que la rigidez procesal no puede perpetuar la impunidad.</w:t>
      </w:r>
    </w:p>
    <w:p w14:paraId="3075FA25" w14:textId="77777777" w:rsidR="00FD0412" w:rsidRDefault="00FD0412" w:rsidP="00042D4C">
      <w:pPr>
        <w:jc w:val="both"/>
        <w:rPr>
          <w:rFonts w:ascii="Bookman Old Style" w:eastAsia="Bookman Old Style" w:hAnsi="Bookman Old Style" w:cs="Bookman Old Style"/>
          <w:b/>
        </w:rPr>
      </w:pPr>
    </w:p>
    <w:p w14:paraId="390A2BD1" w14:textId="77777777" w:rsidR="00FD0412" w:rsidRDefault="00B868F8" w:rsidP="00042D4C">
      <w:pPr>
        <w:numPr>
          <w:ilvl w:val="0"/>
          <w:numId w:val="2"/>
        </w:numPr>
        <w:jc w:val="both"/>
        <w:rPr>
          <w:rFonts w:ascii="Bookman Old Style" w:eastAsia="Bookman Old Style" w:hAnsi="Bookman Old Style" w:cs="Bookman Old Style"/>
          <w:b/>
        </w:rPr>
      </w:pPr>
      <w:r>
        <w:rPr>
          <w:rFonts w:ascii="Bookman Old Style" w:eastAsia="Bookman Old Style" w:hAnsi="Bookman Old Style" w:cs="Bookman Old Style"/>
          <w:b/>
        </w:rPr>
        <w:lastRenderedPageBreak/>
        <w:t>Sentencia del Consejo de Estado con Radicado 27001-23-33-000-2014-00206-01</w:t>
      </w:r>
    </w:p>
    <w:p w14:paraId="563FCA9D" w14:textId="77777777" w:rsidR="00FD0412" w:rsidRDefault="00FD0412" w:rsidP="00042D4C">
      <w:pPr>
        <w:jc w:val="both"/>
        <w:rPr>
          <w:rFonts w:ascii="Bookman Old Style" w:eastAsia="Bookman Old Style" w:hAnsi="Bookman Old Style" w:cs="Bookman Old Style"/>
          <w:b/>
        </w:rPr>
      </w:pPr>
    </w:p>
    <w:p w14:paraId="684CD322" w14:textId="77777777" w:rsidR="00FD0412" w:rsidRDefault="00B868F8" w:rsidP="00042D4C">
      <w:pPr>
        <w:jc w:val="both"/>
        <w:rPr>
          <w:rFonts w:ascii="Times New Roman" w:eastAsia="Times New Roman" w:hAnsi="Times New Roman" w:cs="Times New Roman"/>
        </w:rPr>
      </w:pPr>
      <w:r>
        <w:rPr>
          <w:rFonts w:ascii="Bookman Old Style" w:eastAsia="Bookman Old Style" w:hAnsi="Bookman Old Style" w:cs="Bookman Old Style"/>
        </w:rPr>
        <w:t>Este fallo reafirma que las ejecuciones extrajudiciales constituyen crímenes de lesa humanidad, lo que exige un tratamiento diferenciado en la aplicación de las normas procesales. El Consejo destacó que los términos procesales no pueden convertirse en un obstáculo para garantizar el derecho de acceso a la justicia de las víctimas y sus familias. Además, subrayó que el reconocimiento de la imprescriptibilidad de estos crímenes debe estar acompañado por reformas procesales que garanticen el acceso real y efectivo a la justicia.</w:t>
      </w:r>
    </w:p>
    <w:p w14:paraId="664CA0FB" w14:textId="77777777" w:rsidR="00FD0412" w:rsidRDefault="00FD0412" w:rsidP="00042D4C">
      <w:pPr>
        <w:pStyle w:val="Ttulo1"/>
        <w:rPr>
          <w:rFonts w:ascii="Bookman Old Style" w:eastAsia="Bookman Old Style" w:hAnsi="Bookman Old Style" w:cs="Bookman Old Style"/>
          <w:color w:val="000000"/>
        </w:rPr>
      </w:pPr>
      <w:bookmarkStart w:id="8" w:name="_heading=h.v3xdgus79cgn" w:colFirst="0" w:colLast="0"/>
      <w:bookmarkEnd w:id="8"/>
    </w:p>
    <w:p w14:paraId="24C8B106" w14:textId="77777777" w:rsidR="00FD0412" w:rsidRDefault="00FD0412" w:rsidP="00042D4C"/>
    <w:p w14:paraId="423C05FA" w14:textId="77777777" w:rsidR="00FD0412" w:rsidRDefault="00B868F8" w:rsidP="00042D4C">
      <w:pPr>
        <w:pStyle w:val="Ttulo1"/>
        <w:rPr>
          <w:rFonts w:ascii="Bookman Old Style" w:eastAsia="Bookman Old Style" w:hAnsi="Bookman Old Style" w:cs="Bookman Old Style"/>
          <w:color w:val="000000"/>
        </w:rPr>
      </w:pPr>
      <w:bookmarkStart w:id="9" w:name="_heading=h.6fgtv1aix6ay" w:colFirst="0" w:colLast="0"/>
      <w:bookmarkEnd w:id="9"/>
      <w:r>
        <w:rPr>
          <w:rFonts w:ascii="Bookman Old Style" w:eastAsia="Bookman Old Style" w:hAnsi="Bookman Old Style" w:cs="Bookman Old Style"/>
          <w:color w:val="000000"/>
        </w:rPr>
        <w:t>5. Impacto Fiscal</w:t>
      </w:r>
    </w:p>
    <w:p w14:paraId="13BE16A6" w14:textId="77777777" w:rsidR="00FD0412" w:rsidRDefault="00FD0412" w:rsidP="00042D4C">
      <w:pPr>
        <w:rPr>
          <w:rFonts w:ascii="Bookman Old Style" w:eastAsia="Bookman Old Style" w:hAnsi="Bookman Old Style" w:cs="Bookman Old Style"/>
        </w:rPr>
      </w:pPr>
    </w:p>
    <w:p w14:paraId="7E779513" w14:textId="77777777" w:rsidR="00FD0412" w:rsidRDefault="00B868F8" w:rsidP="00042D4C">
      <w:pPr>
        <w:rPr>
          <w:rFonts w:ascii="Bookman Old Style" w:eastAsia="Bookman Old Style" w:hAnsi="Bookman Old Style" w:cs="Bookman Old Style"/>
        </w:rPr>
      </w:pPr>
      <w:bookmarkStart w:id="10" w:name="_heading=h.4sq2fwivocsj" w:colFirst="0" w:colLast="0"/>
      <w:bookmarkEnd w:id="10"/>
      <w:r>
        <w:rPr>
          <w:rFonts w:ascii="Bookman Old Style" w:eastAsia="Bookman Old Style" w:hAnsi="Bookman Old Style" w:cs="Bookman Old Style"/>
        </w:rPr>
        <w:t>El artículo 7 de la Ley 819 de 2003, contempla lo siguiente:</w:t>
      </w:r>
    </w:p>
    <w:p w14:paraId="4C9EF1A3" w14:textId="77777777" w:rsidR="00FD0412" w:rsidRDefault="00FD0412" w:rsidP="00042D4C">
      <w:pPr>
        <w:rPr>
          <w:rFonts w:ascii="Bookman Old Style" w:eastAsia="Bookman Old Style" w:hAnsi="Bookman Old Style" w:cs="Bookman Old Style"/>
        </w:rPr>
      </w:pPr>
    </w:p>
    <w:p w14:paraId="08A8DE3F" w14:textId="77777777" w:rsidR="00FD0412" w:rsidRDefault="00B868F8" w:rsidP="00F17A23">
      <w:pPr>
        <w:ind w:left="284" w:right="49"/>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“ARTÍCULO 7o. 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14:paraId="5162DD2B" w14:textId="77777777" w:rsidR="00FD0412" w:rsidRDefault="00FD0412" w:rsidP="00F17A23">
      <w:pPr>
        <w:ind w:left="284" w:right="49"/>
        <w:jc w:val="both"/>
        <w:rPr>
          <w:rFonts w:ascii="Bookman Old Style" w:eastAsia="Bookman Old Style" w:hAnsi="Bookman Old Style" w:cs="Bookman Old Style"/>
          <w:sz w:val="20"/>
          <w:szCs w:val="20"/>
        </w:rPr>
      </w:pPr>
    </w:p>
    <w:p w14:paraId="58CBA2FF" w14:textId="77777777" w:rsidR="00FD0412" w:rsidRDefault="00B868F8" w:rsidP="00F17A23">
      <w:pPr>
        <w:ind w:left="284" w:right="49"/>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Para estos propósitos, </w:t>
      </w:r>
      <w:r>
        <w:rPr>
          <w:rFonts w:ascii="Bookman Old Style" w:eastAsia="Bookman Old Style" w:hAnsi="Bookman Old Style" w:cs="Bookman Old Style"/>
          <w:b/>
          <w:sz w:val="20"/>
          <w:szCs w:val="20"/>
        </w:rPr>
        <w:t>deberá incluirse expresamente en la exposición de motivos y en las ponencias de trámite respectivas los costos fiscales de la iniciativa y la fuente de ingreso adicional generada para el financiamiento de dicho costo.</w:t>
      </w:r>
    </w:p>
    <w:p w14:paraId="1738EB74" w14:textId="77777777" w:rsidR="00FD0412" w:rsidRDefault="00FD0412" w:rsidP="00F17A23">
      <w:pPr>
        <w:ind w:left="284" w:right="49"/>
        <w:jc w:val="both"/>
        <w:rPr>
          <w:rFonts w:ascii="Bookman Old Style" w:eastAsia="Bookman Old Style" w:hAnsi="Bookman Old Style" w:cs="Bookman Old Style"/>
          <w:sz w:val="20"/>
          <w:szCs w:val="20"/>
        </w:rPr>
      </w:pPr>
    </w:p>
    <w:p w14:paraId="7DAD7A4F" w14:textId="77777777" w:rsidR="00FD0412" w:rsidRDefault="00B868F8" w:rsidP="00F17A23">
      <w:pPr>
        <w:ind w:left="284" w:right="49"/>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14:paraId="033A193F" w14:textId="77777777" w:rsidR="00FD0412" w:rsidRDefault="00FD0412" w:rsidP="00F17A23">
      <w:pPr>
        <w:ind w:left="284" w:right="49"/>
        <w:jc w:val="both"/>
        <w:rPr>
          <w:rFonts w:ascii="Bookman Old Style" w:eastAsia="Bookman Old Style" w:hAnsi="Bookman Old Style" w:cs="Bookman Old Style"/>
          <w:sz w:val="20"/>
          <w:szCs w:val="20"/>
        </w:rPr>
      </w:pPr>
    </w:p>
    <w:p w14:paraId="66E732C4" w14:textId="77777777" w:rsidR="00FD0412" w:rsidRDefault="00B868F8" w:rsidP="00F17A23">
      <w:pPr>
        <w:ind w:left="284" w:right="49"/>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Los proyectos de ley de iniciativa gubernamental, que planteen un gasto adicional o una reducción de ingresos, deberán contener la correspondiente fuente sustitutiva por disminución de gasto o aumentos de ingresos, lo cual deberá ser analizado y aprobado por el Ministerio de Hacienda y Crédito Público.</w:t>
      </w:r>
    </w:p>
    <w:p w14:paraId="4E9381D7" w14:textId="77777777" w:rsidR="00FD0412" w:rsidRDefault="00FD0412" w:rsidP="00F17A23">
      <w:pPr>
        <w:ind w:left="284" w:right="49"/>
        <w:jc w:val="both"/>
        <w:rPr>
          <w:rFonts w:ascii="Bookman Old Style" w:eastAsia="Bookman Old Style" w:hAnsi="Bookman Old Style" w:cs="Bookman Old Style"/>
          <w:sz w:val="20"/>
          <w:szCs w:val="20"/>
        </w:rPr>
      </w:pPr>
    </w:p>
    <w:p w14:paraId="0BE8F086" w14:textId="77777777" w:rsidR="00FD0412" w:rsidRDefault="00B868F8" w:rsidP="00F17A23">
      <w:pPr>
        <w:ind w:left="284" w:right="49"/>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En las entidades territoriales, el trámite previsto en el inciso anterior será surtido ante la respectiva Secretaría de Hacienda o quien haga sus veces.” (Negrillas fuera de texto). </w:t>
      </w:r>
    </w:p>
    <w:p w14:paraId="025FE8E0" w14:textId="77777777" w:rsidR="00FD0412" w:rsidRDefault="00FD0412" w:rsidP="00042D4C">
      <w:pPr>
        <w:jc w:val="both"/>
        <w:rPr>
          <w:rFonts w:ascii="Bookman Old Style" w:eastAsia="Bookman Old Style" w:hAnsi="Bookman Old Style" w:cs="Bookman Old Style"/>
        </w:rPr>
      </w:pPr>
    </w:p>
    <w:p w14:paraId="34758296" w14:textId="77777777" w:rsidR="00FD0412" w:rsidRDefault="00B868F8" w:rsidP="00042D4C">
      <w:pPr>
        <w:jc w:val="both"/>
        <w:rPr>
          <w:rFonts w:ascii="Bookman Old Style" w:eastAsia="Bookman Old Style" w:hAnsi="Bookman Old Style" w:cs="Bookman Old Style"/>
        </w:rPr>
      </w:pPr>
      <w:r>
        <w:rPr>
          <w:rFonts w:ascii="Bookman Old Style" w:eastAsia="Bookman Old Style" w:hAnsi="Bookman Old Style" w:cs="Bookman Old Style"/>
        </w:rPr>
        <w:t>Al respecto, es importante señalar que de conformidad con la ley 1448 de 2014 “Ley de víctimas” la indemnización máxima que podría recibir cada núcleo familiar es de cuarenta (40) salarios mínimos legales vigentes.</w:t>
      </w:r>
    </w:p>
    <w:p w14:paraId="1B1F8A97" w14:textId="77777777" w:rsidR="00FD0412" w:rsidRPr="00F17A23" w:rsidRDefault="00FD0412" w:rsidP="00042D4C">
      <w:pPr>
        <w:jc w:val="both"/>
        <w:rPr>
          <w:rFonts w:ascii="Bookman Old Style" w:eastAsia="Bookman Old Style" w:hAnsi="Bookman Old Style" w:cs="Bookman Old Style"/>
          <w:color w:val="000000"/>
          <w:sz w:val="22"/>
          <w:szCs w:val="22"/>
        </w:rPr>
      </w:pPr>
    </w:p>
    <w:p w14:paraId="24148206" w14:textId="77777777" w:rsidR="00FD0412" w:rsidRPr="00F17A23" w:rsidRDefault="00FD0412" w:rsidP="00042D4C">
      <w:pPr>
        <w:jc w:val="both"/>
        <w:rPr>
          <w:rFonts w:ascii="Bookman Old Style" w:eastAsia="Bookman Old Style" w:hAnsi="Bookman Old Style" w:cs="Bookman Old Style"/>
          <w:color w:val="000000"/>
          <w:sz w:val="22"/>
          <w:szCs w:val="22"/>
        </w:rPr>
      </w:pPr>
    </w:p>
    <w:p w14:paraId="41CCD860" w14:textId="77777777" w:rsidR="00FD0412" w:rsidRDefault="00B868F8" w:rsidP="00042D4C">
      <w:pPr>
        <w:jc w:val="both"/>
        <w:rPr>
          <w:rFonts w:ascii="Bookman Old Style" w:eastAsia="Bookman Old Style" w:hAnsi="Bookman Old Style" w:cs="Bookman Old Style"/>
          <w:b/>
          <w:color w:val="000000"/>
        </w:rPr>
      </w:pPr>
      <w:r>
        <w:rPr>
          <w:rFonts w:ascii="Bookman Old Style" w:eastAsia="Bookman Old Style" w:hAnsi="Bookman Old Style" w:cs="Bookman Old Style"/>
          <w:b/>
        </w:rPr>
        <w:t>6</w:t>
      </w:r>
      <w:r>
        <w:rPr>
          <w:rFonts w:ascii="Bookman Old Style" w:eastAsia="Bookman Old Style" w:hAnsi="Bookman Old Style" w:cs="Bookman Old Style"/>
          <w:b/>
          <w:color w:val="000000"/>
        </w:rPr>
        <w:t>. Posibles Conflictos de Intereses</w:t>
      </w:r>
    </w:p>
    <w:p w14:paraId="6A95BD8E" w14:textId="77777777" w:rsidR="00FD0412" w:rsidRDefault="00FD0412" w:rsidP="00042D4C">
      <w:pPr>
        <w:rPr>
          <w:rFonts w:ascii="Bookman Old Style" w:eastAsia="Bookman Old Style" w:hAnsi="Bookman Old Style" w:cs="Bookman Old Style"/>
          <w:color w:val="000000"/>
        </w:rPr>
      </w:pPr>
    </w:p>
    <w:p w14:paraId="0D95D2E5" w14:textId="5F75836A" w:rsidR="00FD0412" w:rsidRDefault="00B868F8" w:rsidP="00042D4C">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Se advierte que el presente Proyecto de Ley en cumplimiento de la Ley 2003 de 2019, se hace la salvedad que </w:t>
      </w:r>
      <w:r w:rsidR="00F17A23">
        <w:rPr>
          <w:rFonts w:ascii="Bookman Old Style" w:eastAsia="Bookman Old Style" w:hAnsi="Bookman Old Style" w:cs="Bookman Old Style"/>
          <w:color w:val="000000"/>
        </w:rPr>
        <w:t xml:space="preserve">podría generar conflicto de interés a los </w:t>
      </w:r>
      <w:r w:rsidR="00F17A23">
        <w:rPr>
          <w:rFonts w:ascii="Bookman Old Style" w:eastAsia="Bookman Old Style" w:hAnsi="Bookman Old Style" w:cs="Bookman Old Style"/>
          <w:color w:val="000000"/>
        </w:rPr>
        <w:lastRenderedPageBreak/>
        <w:t>Representantes a la Cámara que tengan familiares dentro de los grados establecidos en la ley que sean víctimas de casos de falsos positivos de los que hace alusión el presente proyecto.</w:t>
      </w:r>
    </w:p>
    <w:p w14:paraId="47C85AA8" w14:textId="77777777" w:rsidR="00FD0412" w:rsidRDefault="00FD0412" w:rsidP="00042D4C">
      <w:pPr>
        <w:jc w:val="both"/>
        <w:rPr>
          <w:rFonts w:ascii="Bookman Old Style" w:eastAsia="Bookman Old Style" w:hAnsi="Bookman Old Style" w:cs="Bookman Old Style"/>
          <w:color w:val="000000"/>
        </w:rPr>
      </w:pPr>
    </w:p>
    <w:p w14:paraId="6C4AB319" w14:textId="77777777" w:rsidR="00FD0412" w:rsidRDefault="00B868F8" w:rsidP="00042D4C">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Por lo anterior, lo aqu</w:t>
      </w:r>
      <w:r>
        <w:rPr>
          <w:rFonts w:ascii="Bookman Old Style" w:eastAsia="Bookman Old Style" w:hAnsi="Bookman Old Style" w:cs="Bookman Old Style"/>
        </w:rPr>
        <w:t>í</w:t>
      </w:r>
      <w:r>
        <w:rPr>
          <w:rFonts w:ascii="Bookman Old Style" w:eastAsia="Bookman Old Style" w:hAnsi="Bookman Old Style" w:cs="Bookman Old Style"/>
          <w:color w:val="000000"/>
        </w:rPr>
        <w:t xml:space="preserve"> advertido no exonera a cada uno de los congresistas de examinar minuciosamente posibles conflictos de interés para conocer y votar este proyecto, y en caso de existir algún conflicto, su responsabilidad de manifestarlo al Congreso de la República, durante el trámite de este.</w:t>
      </w:r>
    </w:p>
    <w:p w14:paraId="08C5BEA5" w14:textId="77777777" w:rsidR="00FD0412" w:rsidRDefault="00FD0412" w:rsidP="00042D4C">
      <w:pPr>
        <w:jc w:val="both"/>
        <w:rPr>
          <w:rFonts w:ascii="Bookman Old Style" w:eastAsia="Bookman Old Style" w:hAnsi="Bookman Old Style" w:cs="Bookman Old Style"/>
          <w:color w:val="000000"/>
        </w:rPr>
      </w:pPr>
    </w:p>
    <w:p w14:paraId="252F7D76" w14:textId="77777777" w:rsidR="00FD0412" w:rsidRDefault="00FD0412" w:rsidP="00042D4C">
      <w:pPr>
        <w:rPr>
          <w:rFonts w:ascii="Bookman Old Style" w:eastAsia="Bookman Old Style" w:hAnsi="Bookman Old Style" w:cs="Bookman Old Style"/>
          <w:color w:val="000000"/>
        </w:rPr>
      </w:pPr>
    </w:p>
    <w:p w14:paraId="29ECD037" w14:textId="77777777" w:rsidR="00FD0412" w:rsidRDefault="00B868F8" w:rsidP="00042D4C">
      <w:pPr>
        <w:rPr>
          <w:rFonts w:ascii="Bookman Old Style" w:eastAsia="Bookman Old Style" w:hAnsi="Bookman Old Style" w:cs="Bookman Old Style"/>
          <w:b/>
          <w:color w:val="000000"/>
        </w:rPr>
      </w:pPr>
      <w:r>
        <w:rPr>
          <w:rFonts w:ascii="Bookman Old Style" w:eastAsia="Bookman Old Style" w:hAnsi="Bookman Old Style" w:cs="Bookman Old Style"/>
          <w:b/>
        </w:rPr>
        <w:t>7</w:t>
      </w:r>
      <w:r>
        <w:rPr>
          <w:rFonts w:ascii="Bookman Old Style" w:eastAsia="Bookman Old Style" w:hAnsi="Bookman Old Style" w:cs="Bookman Old Style"/>
          <w:b/>
          <w:color w:val="000000"/>
        </w:rPr>
        <w:t>. Proposición</w:t>
      </w:r>
    </w:p>
    <w:p w14:paraId="7CFC983B" w14:textId="77777777" w:rsidR="00FD0412" w:rsidRDefault="00FD0412" w:rsidP="00042D4C">
      <w:pPr>
        <w:rPr>
          <w:rFonts w:ascii="Bookman Old Style" w:eastAsia="Bookman Old Style" w:hAnsi="Bookman Old Style" w:cs="Bookman Old Style"/>
          <w:b/>
          <w:color w:val="000000"/>
        </w:rPr>
      </w:pPr>
    </w:p>
    <w:p w14:paraId="01690FDD" w14:textId="77777777" w:rsidR="00FD0412" w:rsidRDefault="00B868F8" w:rsidP="00042D4C">
      <w:pPr>
        <w:ind w:right="49"/>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En consideración a las razones aquí expuestas, proponemos de manera respetuosa a los Honorables Representantes de la Comisión Primera de la Cámara de Representantes dar primer debate al </w:t>
      </w:r>
      <w:r>
        <w:rPr>
          <w:rFonts w:ascii="Bookman Old Style" w:eastAsia="Bookman Old Style" w:hAnsi="Bookman Old Style" w:cs="Bookman Old Style"/>
        </w:rPr>
        <w:t xml:space="preserve">Proyecto de Ley </w:t>
      </w:r>
      <w:proofErr w:type="spellStart"/>
      <w:r>
        <w:rPr>
          <w:rFonts w:ascii="Bookman Old Style" w:eastAsia="Bookman Old Style" w:hAnsi="Bookman Old Style" w:cs="Bookman Old Style"/>
        </w:rPr>
        <w:t>Nº</w:t>
      </w:r>
      <w:proofErr w:type="spellEnd"/>
      <w:r>
        <w:rPr>
          <w:rFonts w:ascii="Bookman Old Style" w:eastAsia="Bookman Old Style" w:hAnsi="Bookman Old Style" w:cs="Bookman Old Style"/>
        </w:rPr>
        <w:t xml:space="preserve"> 525 de 2025 Cámara “Por medio del cual se establecen medidas de responsabilidad del Estado en favor de las víctimas de delitos de lesa humanidad, graves infracciones a los derechos humanos y al derecho internacional humanitario cometidos con ocasión o en razón del conflicto armado interno”, de conformidad al texto propuesto.</w:t>
      </w:r>
    </w:p>
    <w:p w14:paraId="369251A6" w14:textId="77777777" w:rsidR="00FD0412" w:rsidRDefault="00FD0412" w:rsidP="00042D4C">
      <w:pPr>
        <w:rPr>
          <w:rFonts w:ascii="Bookman Old Style" w:eastAsia="Bookman Old Style" w:hAnsi="Bookman Old Style" w:cs="Bookman Old Style"/>
          <w:color w:val="000000"/>
        </w:rPr>
      </w:pPr>
    </w:p>
    <w:p w14:paraId="26532845" w14:textId="77777777" w:rsidR="00FD0412" w:rsidRDefault="00FD0412" w:rsidP="00042D4C">
      <w:pPr>
        <w:rPr>
          <w:rFonts w:ascii="Bookman Old Style" w:eastAsia="Bookman Old Style" w:hAnsi="Bookman Old Style" w:cs="Bookman Old Style"/>
          <w:color w:val="000000"/>
        </w:rPr>
      </w:pPr>
    </w:p>
    <w:p w14:paraId="5F3CB1A3" w14:textId="77777777" w:rsidR="00FD0412" w:rsidRDefault="00B868F8" w:rsidP="00042D4C">
      <w:pP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Atentamente, </w:t>
      </w:r>
    </w:p>
    <w:p w14:paraId="36779A80" w14:textId="77777777" w:rsidR="00FD0412" w:rsidRDefault="00FD0412" w:rsidP="00042D4C">
      <w:pPr>
        <w:rPr>
          <w:rFonts w:ascii="Bookman Old Style" w:eastAsia="Bookman Old Style" w:hAnsi="Bookman Old Style" w:cs="Bookman Old Style"/>
          <w:color w:val="000000"/>
        </w:rPr>
      </w:pPr>
    </w:p>
    <w:p w14:paraId="2A1FB477" w14:textId="77777777" w:rsidR="00FD0412" w:rsidRDefault="00FD0412" w:rsidP="00042D4C">
      <w:pPr>
        <w:rPr>
          <w:rFonts w:ascii="Bookman Old Style" w:eastAsia="Bookman Old Style" w:hAnsi="Bookman Old Style" w:cs="Bookman Old Style"/>
          <w:color w:val="000000"/>
        </w:rPr>
      </w:pPr>
    </w:p>
    <w:p w14:paraId="1D5B0150" w14:textId="77777777" w:rsidR="00FD0412" w:rsidRDefault="00FD0412" w:rsidP="00042D4C">
      <w:pPr>
        <w:rPr>
          <w:rFonts w:ascii="Bookman Old Style" w:eastAsia="Bookman Old Style" w:hAnsi="Bookman Old Style" w:cs="Bookman Old Style"/>
          <w:color w:val="000000"/>
        </w:rPr>
      </w:pPr>
    </w:p>
    <w:tbl>
      <w:tblPr>
        <w:tblStyle w:val="Tablaconcuadrcula"/>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96"/>
      </w:tblGrid>
      <w:tr w:rsidR="00042D4C" w14:paraId="7A8D2350" w14:textId="77777777" w:rsidTr="0087649C">
        <w:tc>
          <w:tcPr>
            <w:tcW w:w="4702" w:type="dxa"/>
          </w:tcPr>
          <w:p w14:paraId="2F66B5B7" w14:textId="77777777" w:rsidR="00F17A23" w:rsidRDefault="00F17A23" w:rsidP="0087649C">
            <w:pPr>
              <w:rPr>
                <w:rFonts w:ascii="Bookman Old Style" w:eastAsia="Bookman Old Style" w:hAnsi="Bookman Old Style" w:cs="Bookman Old Style"/>
                <w:b/>
              </w:rPr>
            </w:pPr>
          </w:p>
          <w:p w14:paraId="29FEA99C" w14:textId="3A3F748A" w:rsidR="00042D4C" w:rsidRDefault="00042D4C" w:rsidP="0087649C">
            <w:pPr>
              <w:rPr>
                <w:rFonts w:ascii="Bookman Old Style" w:eastAsia="Bookman Old Style" w:hAnsi="Bookman Old Style" w:cs="Bookman Old Style"/>
                <w:b/>
              </w:rPr>
            </w:pPr>
            <w:r>
              <w:rPr>
                <w:rFonts w:ascii="Bookman Old Style" w:eastAsia="Bookman Old Style" w:hAnsi="Bookman Old Style" w:cs="Bookman Old Style"/>
                <w:b/>
              </w:rPr>
              <w:t>Jorge Eliécer Tamayo Marulanda</w:t>
            </w:r>
          </w:p>
          <w:p w14:paraId="7D7AB7A3" w14:textId="77777777" w:rsidR="00042D4C" w:rsidRDefault="00042D4C" w:rsidP="0087649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p w14:paraId="29BD88A9" w14:textId="05E0005E" w:rsidR="00F17A23" w:rsidRPr="00042D4C" w:rsidRDefault="00F17A23" w:rsidP="0087649C">
            <w:pPr>
              <w:ind w:right="60"/>
              <w:rPr>
                <w:rFonts w:ascii="Bookman Old Style" w:eastAsia="Bookman Old Style" w:hAnsi="Bookman Old Style" w:cs="Bookman Old Style"/>
                <w:b/>
                <w:bCs/>
              </w:rPr>
            </w:pPr>
          </w:p>
        </w:tc>
        <w:tc>
          <w:tcPr>
            <w:tcW w:w="4796" w:type="dxa"/>
          </w:tcPr>
          <w:p w14:paraId="05F12E2B" w14:textId="77777777" w:rsidR="00F17A23" w:rsidRDefault="00F17A23" w:rsidP="0087649C">
            <w:pPr>
              <w:jc w:val="both"/>
              <w:rPr>
                <w:b/>
                <w:bCs/>
              </w:rPr>
            </w:pPr>
          </w:p>
          <w:p w14:paraId="67307DB4" w14:textId="1255F052" w:rsidR="00042D4C" w:rsidRDefault="003C1753" w:rsidP="0087649C">
            <w:pPr>
              <w:jc w:val="both"/>
              <w:rPr>
                <w:b/>
                <w:bCs/>
              </w:rPr>
            </w:pPr>
            <w:hyperlink r:id="rId63">
              <w:r w:rsidR="00042D4C" w:rsidRPr="00042D4C">
                <w:rPr>
                  <w:rFonts w:ascii="Bookman Old Style" w:eastAsia="Bookman Old Style" w:hAnsi="Bookman Old Style" w:cs="Bookman Old Style"/>
                  <w:b/>
                  <w:bCs/>
                </w:rPr>
                <w:t>Eduard Giovanny Sarmiento Hidalgo</w:t>
              </w:r>
            </w:hyperlink>
            <w:r w:rsidR="00042D4C" w:rsidRPr="00042D4C">
              <w:rPr>
                <w:b/>
                <w:bCs/>
              </w:rPr>
              <w:t xml:space="preserve"> </w:t>
            </w:r>
          </w:p>
          <w:p w14:paraId="53A541F4" w14:textId="77777777" w:rsidR="00042D4C" w:rsidRDefault="00042D4C" w:rsidP="0087649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p w14:paraId="4A535914" w14:textId="1084D9D4" w:rsidR="00F17A23" w:rsidRPr="00042D4C" w:rsidRDefault="00F17A23" w:rsidP="0087649C">
            <w:pPr>
              <w:ind w:right="60"/>
              <w:rPr>
                <w:rFonts w:ascii="Bookman Old Style" w:eastAsia="Bookman Old Style" w:hAnsi="Bookman Old Style" w:cs="Bookman Old Style"/>
                <w:b/>
                <w:bCs/>
              </w:rPr>
            </w:pPr>
          </w:p>
        </w:tc>
      </w:tr>
      <w:tr w:rsidR="00042D4C" w14:paraId="65AD8A9D" w14:textId="77777777" w:rsidTr="0087649C">
        <w:tc>
          <w:tcPr>
            <w:tcW w:w="4702" w:type="dxa"/>
          </w:tcPr>
          <w:p w14:paraId="1390A61B" w14:textId="77777777" w:rsidR="00042D4C" w:rsidRPr="00042D4C" w:rsidRDefault="00042D4C" w:rsidP="0087649C">
            <w:pPr>
              <w:rPr>
                <w:rFonts w:ascii="Bookman Old Style" w:eastAsia="Bookman Old Style" w:hAnsi="Bookman Old Style" w:cs="Bookman Old Style"/>
                <w:b/>
                <w:bCs/>
              </w:rPr>
            </w:pPr>
          </w:p>
          <w:p w14:paraId="2F411EF8" w14:textId="77777777" w:rsidR="00042D4C" w:rsidRPr="00042D4C" w:rsidRDefault="00042D4C" w:rsidP="0087649C">
            <w:pPr>
              <w:rPr>
                <w:rFonts w:ascii="Bookman Old Style" w:eastAsia="Bookman Old Style" w:hAnsi="Bookman Old Style" w:cs="Bookman Old Style"/>
                <w:b/>
                <w:bCs/>
              </w:rPr>
            </w:pPr>
          </w:p>
          <w:p w14:paraId="704DDCAB" w14:textId="77777777" w:rsidR="00042D4C" w:rsidRDefault="00042D4C" w:rsidP="0087649C">
            <w:pPr>
              <w:rPr>
                <w:rFonts w:ascii="Bookman Old Style" w:eastAsia="Bookman Old Style" w:hAnsi="Bookman Old Style" w:cs="Bookman Old Style"/>
                <w:b/>
                <w:bCs/>
              </w:rPr>
            </w:pPr>
          </w:p>
          <w:p w14:paraId="76177E62" w14:textId="77777777" w:rsidR="00042D4C" w:rsidRPr="00042D4C" w:rsidRDefault="00042D4C" w:rsidP="0087649C">
            <w:pPr>
              <w:rPr>
                <w:rFonts w:ascii="Bookman Old Style" w:eastAsia="Bookman Old Style" w:hAnsi="Bookman Old Style" w:cs="Bookman Old Style"/>
                <w:b/>
                <w:bCs/>
              </w:rPr>
            </w:pPr>
          </w:p>
          <w:p w14:paraId="7E5875F3" w14:textId="77777777" w:rsidR="00042D4C" w:rsidRDefault="003C1753" w:rsidP="0087649C">
            <w:pPr>
              <w:rPr>
                <w:rFonts w:ascii="Bookman Old Style" w:eastAsia="Bookman Old Style" w:hAnsi="Bookman Old Style" w:cs="Bookman Old Style"/>
                <w:b/>
                <w:bCs/>
              </w:rPr>
            </w:pPr>
            <w:hyperlink r:id="rId64">
              <w:r w:rsidR="00042D4C" w:rsidRPr="00042D4C">
                <w:rPr>
                  <w:rFonts w:ascii="Bookman Old Style" w:eastAsia="Bookman Old Style" w:hAnsi="Bookman Old Style" w:cs="Bookman Old Style"/>
                  <w:b/>
                  <w:bCs/>
                </w:rPr>
                <w:t>Carlos Felipe Quintero Ovalle</w:t>
              </w:r>
            </w:hyperlink>
          </w:p>
          <w:p w14:paraId="22B1F154" w14:textId="77777777" w:rsidR="00042D4C" w:rsidRPr="00042D4C" w:rsidRDefault="00042D4C" w:rsidP="0087649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p w14:paraId="1F83D558" w14:textId="77777777" w:rsidR="00042D4C" w:rsidRPr="00042D4C" w:rsidRDefault="00042D4C" w:rsidP="0087649C">
            <w:pPr>
              <w:rPr>
                <w:rFonts w:ascii="Bookman Old Style" w:eastAsia="Bookman Old Style" w:hAnsi="Bookman Old Style" w:cs="Bookman Old Style"/>
                <w:b/>
                <w:bCs/>
              </w:rPr>
            </w:pPr>
          </w:p>
        </w:tc>
        <w:tc>
          <w:tcPr>
            <w:tcW w:w="4796" w:type="dxa"/>
          </w:tcPr>
          <w:p w14:paraId="1F9C62CB" w14:textId="77777777" w:rsidR="00042D4C" w:rsidRPr="00042D4C" w:rsidRDefault="00042D4C" w:rsidP="0087649C">
            <w:pPr>
              <w:rPr>
                <w:rFonts w:ascii="Bookman Old Style" w:eastAsia="Bookman Old Style" w:hAnsi="Bookman Old Style" w:cs="Bookman Old Style"/>
                <w:b/>
                <w:bCs/>
              </w:rPr>
            </w:pPr>
          </w:p>
          <w:p w14:paraId="4D86C6B5" w14:textId="77777777" w:rsidR="00042D4C" w:rsidRPr="00042D4C" w:rsidRDefault="00042D4C" w:rsidP="0087649C">
            <w:pPr>
              <w:rPr>
                <w:rFonts w:ascii="Bookman Old Style" w:eastAsia="Bookman Old Style" w:hAnsi="Bookman Old Style" w:cs="Bookman Old Style"/>
                <w:b/>
                <w:bCs/>
              </w:rPr>
            </w:pPr>
          </w:p>
          <w:p w14:paraId="4681FA1A" w14:textId="77777777" w:rsidR="00042D4C" w:rsidRDefault="00042D4C" w:rsidP="0087649C">
            <w:pPr>
              <w:rPr>
                <w:rFonts w:ascii="Bookman Old Style" w:eastAsia="Bookman Old Style" w:hAnsi="Bookman Old Style" w:cs="Bookman Old Style"/>
                <w:b/>
                <w:bCs/>
              </w:rPr>
            </w:pPr>
          </w:p>
          <w:p w14:paraId="036483F3" w14:textId="77777777" w:rsidR="00042D4C" w:rsidRPr="00042D4C" w:rsidRDefault="00042D4C" w:rsidP="0087649C">
            <w:pPr>
              <w:rPr>
                <w:rFonts w:ascii="Bookman Old Style" w:eastAsia="Bookman Old Style" w:hAnsi="Bookman Old Style" w:cs="Bookman Old Style"/>
                <w:b/>
                <w:bCs/>
              </w:rPr>
            </w:pPr>
          </w:p>
          <w:p w14:paraId="4226C636" w14:textId="77777777" w:rsidR="00042D4C" w:rsidRDefault="003C1753" w:rsidP="0087649C">
            <w:pPr>
              <w:rPr>
                <w:rFonts w:ascii="Bookman Old Style" w:eastAsia="Bookman Old Style" w:hAnsi="Bookman Old Style" w:cs="Bookman Old Style"/>
                <w:b/>
                <w:bCs/>
              </w:rPr>
            </w:pPr>
            <w:hyperlink r:id="rId65">
              <w:r w:rsidR="00042D4C" w:rsidRPr="00042D4C">
                <w:rPr>
                  <w:rFonts w:ascii="Bookman Old Style" w:eastAsia="Bookman Old Style" w:hAnsi="Bookman Old Style" w:cs="Bookman Old Style"/>
                  <w:b/>
                  <w:bCs/>
                </w:rPr>
                <w:t>Luis Eduardo Díaz Mateus</w:t>
              </w:r>
            </w:hyperlink>
            <w:r w:rsidR="00042D4C" w:rsidRPr="00042D4C">
              <w:rPr>
                <w:rFonts w:ascii="Bookman Old Style" w:eastAsia="Bookman Old Style" w:hAnsi="Bookman Old Style" w:cs="Bookman Old Style"/>
                <w:b/>
                <w:bCs/>
              </w:rPr>
              <w:t xml:space="preserve"> </w:t>
            </w:r>
          </w:p>
          <w:p w14:paraId="648EE3A6" w14:textId="77777777" w:rsidR="00042D4C" w:rsidRPr="00042D4C" w:rsidRDefault="00042D4C" w:rsidP="0087649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p w14:paraId="58C055EF" w14:textId="77777777" w:rsidR="00042D4C" w:rsidRPr="00042D4C" w:rsidRDefault="00042D4C" w:rsidP="0087649C">
            <w:pPr>
              <w:rPr>
                <w:rFonts w:ascii="Bookman Old Style" w:eastAsia="Bookman Old Style" w:hAnsi="Bookman Old Style" w:cs="Bookman Old Style"/>
                <w:b/>
                <w:bCs/>
              </w:rPr>
            </w:pPr>
          </w:p>
        </w:tc>
      </w:tr>
      <w:tr w:rsidR="00042D4C" w14:paraId="7E490E7A" w14:textId="77777777" w:rsidTr="0087649C">
        <w:tc>
          <w:tcPr>
            <w:tcW w:w="4702" w:type="dxa"/>
          </w:tcPr>
          <w:p w14:paraId="4DAB8C3D" w14:textId="77777777" w:rsidR="00042D4C" w:rsidRPr="00042D4C" w:rsidRDefault="00042D4C" w:rsidP="0087649C">
            <w:pPr>
              <w:rPr>
                <w:rFonts w:ascii="Bookman Old Style" w:eastAsia="Bookman Old Style" w:hAnsi="Bookman Old Style" w:cs="Bookman Old Style"/>
                <w:b/>
                <w:bCs/>
              </w:rPr>
            </w:pPr>
          </w:p>
          <w:p w14:paraId="492FECE2" w14:textId="77777777" w:rsidR="00042D4C" w:rsidRPr="00042D4C" w:rsidRDefault="00042D4C" w:rsidP="0087649C">
            <w:pPr>
              <w:rPr>
                <w:rFonts w:ascii="Bookman Old Style" w:eastAsia="Bookman Old Style" w:hAnsi="Bookman Old Style" w:cs="Bookman Old Style"/>
                <w:b/>
                <w:bCs/>
              </w:rPr>
            </w:pPr>
          </w:p>
          <w:p w14:paraId="4E9F6315" w14:textId="77777777" w:rsidR="00042D4C" w:rsidRPr="00042D4C" w:rsidRDefault="00042D4C" w:rsidP="0087649C">
            <w:pPr>
              <w:rPr>
                <w:rFonts w:ascii="Bookman Old Style" w:eastAsia="Bookman Old Style" w:hAnsi="Bookman Old Style" w:cs="Bookman Old Style"/>
                <w:b/>
                <w:bCs/>
              </w:rPr>
            </w:pPr>
          </w:p>
          <w:p w14:paraId="53A8F352" w14:textId="77777777" w:rsidR="00042D4C" w:rsidRDefault="003C1753" w:rsidP="0087649C">
            <w:pPr>
              <w:rPr>
                <w:b/>
                <w:bCs/>
              </w:rPr>
            </w:pPr>
            <w:hyperlink r:id="rId66">
              <w:proofErr w:type="spellStart"/>
              <w:r w:rsidR="00042D4C" w:rsidRPr="00042D4C">
                <w:rPr>
                  <w:rFonts w:ascii="Bookman Old Style" w:eastAsia="Bookman Old Style" w:hAnsi="Bookman Old Style" w:cs="Bookman Old Style"/>
                  <w:b/>
                  <w:bCs/>
                </w:rPr>
                <w:t>Duvalier</w:t>
              </w:r>
              <w:proofErr w:type="spellEnd"/>
              <w:r w:rsidR="00042D4C" w:rsidRPr="00042D4C">
                <w:rPr>
                  <w:rFonts w:ascii="Bookman Old Style" w:eastAsia="Bookman Old Style" w:hAnsi="Bookman Old Style" w:cs="Bookman Old Style"/>
                  <w:b/>
                  <w:bCs/>
                </w:rPr>
                <w:t xml:space="preserve"> Sánchez Arango</w:t>
              </w:r>
            </w:hyperlink>
            <w:r w:rsidR="00042D4C" w:rsidRPr="00042D4C">
              <w:rPr>
                <w:b/>
                <w:bCs/>
              </w:rPr>
              <w:t xml:space="preserve"> </w:t>
            </w:r>
          </w:p>
          <w:p w14:paraId="138B70B3" w14:textId="77777777" w:rsidR="00042D4C" w:rsidRPr="00042D4C" w:rsidRDefault="00042D4C" w:rsidP="0087649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tc>
        <w:tc>
          <w:tcPr>
            <w:tcW w:w="4796" w:type="dxa"/>
          </w:tcPr>
          <w:p w14:paraId="676F49AF" w14:textId="77777777" w:rsidR="00042D4C" w:rsidRDefault="00042D4C" w:rsidP="0087649C">
            <w:pPr>
              <w:rPr>
                <w:rFonts w:ascii="Bookman Old Style" w:eastAsia="Bookman Old Style" w:hAnsi="Bookman Old Style" w:cs="Bookman Old Style"/>
                <w:b/>
                <w:bCs/>
              </w:rPr>
            </w:pPr>
          </w:p>
          <w:p w14:paraId="336AA36E" w14:textId="77777777" w:rsidR="00042D4C" w:rsidRDefault="00042D4C" w:rsidP="0087649C">
            <w:pPr>
              <w:rPr>
                <w:rFonts w:ascii="Bookman Old Style" w:eastAsia="Bookman Old Style" w:hAnsi="Bookman Old Style" w:cs="Bookman Old Style"/>
                <w:b/>
                <w:bCs/>
              </w:rPr>
            </w:pPr>
          </w:p>
          <w:p w14:paraId="1D0C792C" w14:textId="77777777" w:rsidR="00042D4C" w:rsidRDefault="00042D4C" w:rsidP="0087649C">
            <w:pPr>
              <w:rPr>
                <w:rFonts w:ascii="Bookman Old Style" w:eastAsia="Bookman Old Style" w:hAnsi="Bookman Old Style" w:cs="Bookman Old Style"/>
                <w:b/>
                <w:bCs/>
              </w:rPr>
            </w:pPr>
          </w:p>
          <w:p w14:paraId="02914808" w14:textId="77777777" w:rsidR="00042D4C" w:rsidRDefault="003C1753" w:rsidP="0087649C">
            <w:pPr>
              <w:rPr>
                <w:rFonts w:ascii="Bookman Old Style" w:eastAsia="Bookman Old Style" w:hAnsi="Bookman Old Style" w:cs="Bookman Old Style"/>
                <w:b/>
                <w:bCs/>
              </w:rPr>
            </w:pPr>
            <w:hyperlink r:id="rId67">
              <w:r w:rsidR="00042D4C" w:rsidRPr="00042D4C">
                <w:rPr>
                  <w:rFonts w:ascii="Bookman Old Style" w:eastAsia="Bookman Old Style" w:hAnsi="Bookman Old Style" w:cs="Bookman Old Style"/>
                  <w:b/>
                  <w:bCs/>
                </w:rPr>
                <w:t>Julio César Triana Quintero</w:t>
              </w:r>
            </w:hyperlink>
            <w:r w:rsidR="00042D4C" w:rsidRPr="00042D4C">
              <w:rPr>
                <w:b/>
                <w:bCs/>
              </w:rPr>
              <w:t xml:space="preserve"> </w:t>
            </w:r>
          </w:p>
          <w:p w14:paraId="1A85137B" w14:textId="77777777" w:rsidR="00042D4C" w:rsidRPr="00042D4C" w:rsidRDefault="00042D4C" w:rsidP="0087649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tc>
      </w:tr>
      <w:tr w:rsidR="00042D4C" w14:paraId="6B6B426C" w14:textId="77777777" w:rsidTr="0087649C">
        <w:tc>
          <w:tcPr>
            <w:tcW w:w="4702" w:type="dxa"/>
          </w:tcPr>
          <w:p w14:paraId="53BD6963" w14:textId="77777777" w:rsidR="00042D4C" w:rsidRDefault="00042D4C" w:rsidP="0087649C">
            <w:pPr>
              <w:rPr>
                <w:rFonts w:ascii="Bookman Old Style" w:eastAsia="Bookman Old Style" w:hAnsi="Bookman Old Style" w:cs="Bookman Old Style"/>
                <w:b/>
              </w:rPr>
            </w:pPr>
          </w:p>
          <w:p w14:paraId="2480D99A" w14:textId="77777777" w:rsidR="00042D4C" w:rsidRDefault="00042D4C" w:rsidP="0087649C">
            <w:pPr>
              <w:rPr>
                <w:rFonts w:ascii="Bookman Old Style" w:eastAsia="Bookman Old Style" w:hAnsi="Bookman Old Style" w:cs="Bookman Old Style"/>
                <w:b/>
              </w:rPr>
            </w:pPr>
          </w:p>
          <w:p w14:paraId="7E28AC3A" w14:textId="77777777" w:rsidR="00042D4C" w:rsidRDefault="00042D4C" w:rsidP="0087649C">
            <w:pPr>
              <w:rPr>
                <w:rFonts w:ascii="Bookman Old Style" w:eastAsia="Bookman Old Style" w:hAnsi="Bookman Old Style" w:cs="Bookman Old Style"/>
                <w:b/>
              </w:rPr>
            </w:pPr>
          </w:p>
          <w:p w14:paraId="7964319E" w14:textId="77777777" w:rsidR="00042D4C" w:rsidRDefault="00042D4C" w:rsidP="0087649C">
            <w:pPr>
              <w:rPr>
                <w:rFonts w:ascii="Bookman Old Style" w:eastAsia="Bookman Old Style" w:hAnsi="Bookman Old Style" w:cs="Bookman Old Style"/>
                <w:b/>
              </w:rPr>
            </w:pPr>
          </w:p>
          <w:p w14:paraId="13D060AE" w14:textId="77777777" w:rsidR="00042D4C" w:rsidRDefault="003C1753" w:rsidP="0087649C">
            <w:pPr>
              <w:rPr>
                <w:b/>
                <w:bCs/>
              </w:rPr>
            </w:pPr>
            <w:hyperlink r:id="rId68">
              <w:r w:rsidR="00042D4C" w:rsidRPr="00042D4C">
                <w:rPr>
                  <w:rFonts w:ascii="Bookman Old Style" w:eastAsia="Bookman Old Style" w:hAnsi="Bookman Old Style" w:cs="Bookman Old Style"/>
                  <w:b/>
                  <w:bCs/>
                </w:rPr>
                <w:t xml:space="preserve">Miguel Abraham Polo </w:t>
              </w:r>
              <w:proofErr w:type="spellStart"/>
              <w:r w:rsidR="00042D4C" w:rsidRPr="00042D4C">
                <w:rPr>
                  <w:rFonts w:ascii="Bookman Old Style" w:eastAsia="Bookman Old Style" w:hAnsi="Bookman Old Style" w:cs="Bookman Old Style"/>
                  <w:b/>
                  <w:bCs/>
                </w:rPr>
                <w:t>Polo</w:t>
              </w:r>
              <w:proofErr w:type="spellEnd"/>
            </w:hyperlink>
            <w:r w:rsidR="00042D4C" w:rsidRPr="00042D4C">
              <w:rPr>
                <w:b/>
                <w:bCs/>
              </w:rPr>
              <w:t xml:space="preserve"> </w:t>
            </w:r>
          </w:p>
          <w:p w14:paraId="3C19A470" w14:textId="77777777" w:rsidR="00042D4C" w:rsidRPr="00042D4C" w:rsidRDefault="00042D4C" w:rsidP="0087649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p w14:paraId="3EC6437D" w14:textId="77777777" w:rsidR="00042D4C" w:rsidRDefault="00042D4C" w:rsidP="0087649C">
            <w:pPr>
              <w:rPr>
                <w:rFonts w:ascii="Bookman Old Style" w:eastAsia="Bookman Old Style" w:hAnsi="Bookman Old Style" w:cs="Bookman Old Style"/>
                <w:b/>
              </w:rPr>
            </w:pPr>
          </w:p>
        </w:tc>
        <w:tc>
          <w:tcPr>
            <w:tcW w:w="4796" w:type="dxa"/>
          </w:tcPr>
          <w:p w14:paraId="5717F457" w14:textId="77777777" w:rsidR="00042D4C" w:rsidRDefault="00042D4C" w:rsidP="0087649C">
            <w:pPr>
              <w:rPr>
                <w:rFonts w:ascii="Bookman Old Style" w:eastAsia="Bookman Old Style" w:hAnsi="Bookman Old Style" w:cs="Bookman Old Style"/>
                <w:b/>
              </w:rPr>
            </w:pPr>
          </w:p>
          <w:p w14:paraId="4D0596F4" w14:textId="77777777" w:rsidR="00042D4C" w:rsidRDefault="00042D4C" w:rsidP="0087649C">
            <w:pPr>
              <w:rPr>
                <w:rFonts w:ascii="Bookman Old Style" w:eastAsia="Bookman Old Style" w:hAnsi="Bookman Old Style" w:cs="Bookman Old Style"/>
                <w:b/>
              </w:rPr>
            </w:pPr>
          </w:p>
          <w:p w14:paraId="6A7CF750" w14:textId="77777777" w:rsidR="00042D4C" w:rsidRDefault="00042D4C" w:rsidP="0087649C">
            <w:pPr>
              <w:rPr>
                <w:rFonts w:ascii="Bookman Old Style" w:eastAsia="Bookman Old Style" w:hAnsi="Bookman Old Style" w:cs="Bookman Old Style"/>
                <w:b/>
              </w:rPr>
            </w:pPr>
          </w:p>
          <w:p w14:paraId="5728AEBF" w14:textId="77777777" w:rsidR="00042D4C" w:rsidRDefault="00042D4C" w:rsidP="0087649C">
            <w:pPr>
              <w:rPr>
                <w:rFonts w:ascii="Bookman Old Style" w:eastAsia="Bookman Old Style" w:hAnsi="Bookman Old Style" w:cs="Bookman Old Style"/>
                <w:b/>
              </w:rPr>
            </w:pPr>
          </w:p>
          <w:p w14:paraId="4EC4CACC" w14:textId="77777777" w:rsidR="00042D4C" w:rsidRDefault="003C1753" w:rsidP="0087649C">
            <w:pPr>
              <w:rPr>
                <w:b/>
                <w:bCs/>
              </w:rPr>
            </w:pPr>
            <w:hyperlink r:id="rId69">
              <w:r w:rsidR="00042D4C" w:rsidRPr="00042D4C">
                <w:rPr>
                  <w:rFonts w:ascii="Bookman Old Style" w:eastAsia="Bookman Old Style" w:hAnsi="Bookman Old Style" w:cs="Bookman Old Style"/>
                  <w:b/>
                  <w:bCs/>
                </w:rPr>
                <w:t xml:space="preserve">Karen </w:t>
              </w:r>
              <w:proofErr w:type="spellStart"/>
              <w:r w:rsidR="00042D4C" w:rsidRPr="00042D4C">
                <w:rPr>
                  <w:rFonts w:ascii="Bookman Old Style" w:eastAsia="Bookman Old Style" w:hAnsi="Bookman Old Style" w:cs="Bookman Old Style"/>
                  <w:b/>
                  <w:bCs/>
                </w:rPr>
                <w:t>Astrith</w:t>
              </w:r>
              <w:proofErr w:type="spellEnd"/>
              <w:r w:rsidR="00042D4C" w:rsidRPr="00042D4C">
                <w:rPr>
                  <w:rFonts w:ascii="Bookman Old Style" w:eastAsia="Bookman Old Style" w:hAnsi="Bookman Old Style" w:cs="Bookman Old Style"/>
                  <w:b/>
                  <w:bCs/>
                </w:rPr>
                <w:t xml:space="preserve"> Manrique Olarte</w:t>
              </w:r>
            </w:hyperlink>
            <w:r w:rsidR="00042D4C" w:rsidRPr="00042D4C">
              <w:rPr>
                <w:b/>
                <w:bCs/>
              </w:rPr>
              <w:t xml:space="preserve"> </w:t>
            </w:r>
          </w:p>
          <w:p w14:paraId="6EA4E626" w14:textId="77777777" w:rsidR="00042D4C" w:rsidRPr="00042D4C" w:rsidRDefault="00042D4C" w:rsidP="0087649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p w14:paraId="471E2B2D" w14:textId="77777777" w:rsidR="00042D4C" w:rsidRDefault="00042D4C" w:rsidP="0087649C">
            <w:pPr>
              <w:rPr>
                <w:rFonts w:ascii="Bookman Old Style" w:eastAsia="Bookman Old Style" w:hAnsi="Bookman Old Style" w:cs="Bookman Old Style"/>
                <w:b/>
              </w:rPr>
            </w:pPr>
          </w:p>
        </w:tc>
      </w:tr>
      <w:tr w:rsidR="00042D4C" w14:paraId="15A7B4B5" w14:textId="77777777" w:rsidTr="0087649C">
        <w:tc>
          <w:tcPr>
            <w:tcW w:w="4702" w:type="dxa"/>
          </w:tcPr>
          <w:p w14:paraId="0CE02AB7" w14:textId="77777777" w:rsidR="00042D4C" w:rsidRDefault="00042D4C" w:rsidP="0087649C">
            <w:pPr>
              <w:rPr>
                <w:b/>
                <w:bCs/>
              </w:rPr>
            </w:pPr>
          </w:p>
          <w:p w14:paraId="0ED35D2A" w14:textId="77777777" w:rsidR="00042D4C" w:rsidRDefault="00042D4C" w:rsidP="0087649C">
            <w:pPr>
              <w:rPr>
                <w:b/>
                <w:bCs/>
              </w:rPr>
            </w:pPr>
          </w:p>
          <w:p w14:paraId="5DA9CDF3" w14:textId="77777777" w:rsidR="00042D4C" w:rsidRDefault="00042D4C" w:rsidP="0087649C">
            <w:pPr>
              <w:rPr>
                <w:b/>
                <w:bCs/>
              </w:rPr>
            </w:pPr>
          </w:p>
          <w:p w14:paraId="564EDE3C" w14:textId="77777777" w:rsidR="00042D4C" w:rsidRDefault="003C1753" w:rsidP="0087649C">
            <w:pPr>
              <w:rPr>
                <w:rFonts w:ascii="Bookman Old Style" w:eastAsia="Bookman Old Style" w:hAnsi="Bookman Old Style" w:cs="Bookman Old Style"/>
                <w:b/>
                <w:bCs/>
              </w:rPr>
            </w:pPr>
            <w:hyperlink r:id="rId70">
              <w:r w:rsidR="00042D4C" w:rsidRPr="00042D4C">
                <w:rPr>
                  <w:rFonts w:ascii="Bookman Old Style" w:eastAsia="Bookman Old Style" w:hAnsi="Bookman Old Style" w:cs="Bookman Old Style"/>
                  <w:b/>
                  <w:bCs/>
                </w:rPr>
                <w:t>Luis Alberto Albán Urbano</w:t>
              </w:r>
            </w:hyperlink>
            <w:r w:rsidR="00042D4C" w:rsidRPr="00042D4C">
              <w:rPr>
                <w:rFonts w:ascii="Bookman Old Style" w:eastAsia="Bookman Old Style" w:hAnsi="Bookman Old Style" w:cs="Bookman Old Style"/>
                <w:b/>
                <w:bCs/>
              </w:rPr>
              <w:t xml:space="preserve">  </w:t>
            </w:r>
          </w:p>
          <w:p w14:paraId="2AB08069" w14:textId="77777777" w:rsidR="00042D4C" w:rsidRPr="00042D4C" w:rsidRDefault="00042D4C" w:rsidP="0087649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p w14:paraId="503B031A" w14:textId="77777777" w:rsidR="00042D4C" w:rsidRDefault="00042D4C" w:rsidP="0087649C">
            <w:pPr>
              <w:rPr>
                <w:rFonts w:ascii="Bookman Old Style" w:eastAsia="Bookman Old Style" w:hAnsi="Bookman Old Style" w:cs="Bookman Old Style"/>
                <w:b/>
              </w:rPr>
            </w:pPr>
          </w:p>
        </w:tc>
        <w:tc>
          <w:tcPr>
            <w:tcW w:w="4796" w:type="dxa"/>
          </w:tcPr>
          <w:p w14:paraId="02F2D6D0" w14:textId="77777777" w:rsidR="00042D4C" w:rsidRDefault="00042D4C" w:rsidP="0087649C">
            <w:pPr>
              <w:rPr>
                <w:rFonts w:ascii="Bookman Old Style" w:eastAsia="Bookman Old Style" w:hAnsi="Bookman Old Style" w:cs="Bookman Old Style"/>
                <w:b/>
              </w:rPr>
            </w:pPr>
          </w:p>
          <w:p w14:paraId="39279F49" w14:textId="77777777" w:rsidR="00042D4C" w:rsidRDefault="00042D4C" w:rsidP="0087649C">
            <w:pPr>
              <w:rPr>
                <w:rFonts w:ascii="Bookman Old Style" w:eastAsia="Bookman Old Style" w:hAnsi="Bookman Old Style" w:cs="Bookman Old Style"/>
                <w:b/>
              </w:rPr>
            </w:pPr>
          </w:p>
          <w:p w14:paraId="4016966D" w14:textId="77777777" w:rsidR="00042D4C" w:rsidRDefault="00042D4C" w:rsidP="0087649C">
            <w:pPr>
              <w:rPr>
                <w:rFonts w:ascii="Bookman Old Style" w:eastAsia="Bookman Old Style" w:hAnsi="Bookman Old Style" w:cs="Bookman Old Style"/>
                <w:b/>
              </w:rPr>
            </w:pPr>
          </w:p>
          <w:p w14:paraId="3D95BB73" w14:textId="77777777" w:rsidR="00042D4C" w:rsidRDefault="003C1753" w:rsidP="0087649C">
            <w:pPr>
              <w:rPr>
                <w:rFonts w:ascii="Bookman Old Style" w:eastAsia="Bookman Old Style" w:hAnsi="Bookman Old Style" w:cs="Bookman Old Style"/>
                <w:b/>
                <w:bCs/>
              </w:rPr>
            </w:pPr>
            <w:hyperlink r:id="rId71">
              <w:r w:rsidR="00042D4C" w:rsidRPr="00042D4C">
                <w:rPr>
                  <w:rFonts w:ascii="Bookman Old Style" w:eastAsia="Bookman Old Style" w:hAnsi="Bookman Old Style" w:cs="Bookman Old Style"/>
                  <w:b/>
                  <w:bCs/>
                </w:rPr>
                <w:t>Marelen Castillo Torres</w:t>
              </w:r>
            </w:hyperlink>
          </w:p>
          <w:p w14:paraId="3444FB2D" w14:textId="77777777" w:rsidR="00042D4C" w:rsidRPr="00042D4C" w:rsidRDefault="00042D4C" w:rsidP="0087649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p w14:paraId="5564C35D" w14:textId="77777777" w:rsidR="00042D4C" w:rsidRDefault="00042D4C" w:rsidP="0087649C">
            <w:pPr>
              <w:rPr>
                <w:rFonts w:ascii="Bookman Old Style" w:eastAsia="Bookman Old Style" w:hAnsi="Bookman Old Style" w:cs="Bookman Old Style"/>
                <w:b/>
              </w:rPr>
            </w:pPr>
          </w:p>
        </w:tc>
      </w:tr>
    </w:tbl>
    <w:p w14:paraId="474E29DC" w14:textId="1CD17192" w:rsidR="00FD0412" w:rsidRDefault="00FD0412" w:rsidP="00042D4C">
      <w:pPr>
        <w:rPr>
          <w:rFonts w:ascii="Bookman Old Style" w:eastAsia="Bookman Old Style" w:hAnsi="Bookman Old Style" w:cs="Bookman Old Style"/>
          <w:color w:val="000000"/>
        </w:rPr>
      </w:pPr>
    </w:p>
    <w:p w14:paraId="6E3DE3D7" w14:textId="77777777" w:rsidR="00FD0412" w:rsidRDefault="00FD0412">
      <w:pPr>
        <w:rPr>
          <w:rFonts w:ascii="Bookman Old Style" w:eastAsia="Bookman Old Style" w:hAnsi="Bookman Old Style" w:cs="Bookman Old Style"/>
          <w:color w:val="000000"/>
        </w:rPr>
      </w:pPr>
    </w:p>
    <w:p w14:paraId="575AA065" w14:textId="77777777" w:rsidR="00FD0412" w:rsidRDefault="00FD0412">
      <w:pPr>
        <w:rPr>
          <w:rFonts w:ascii="Bookman Old Style" w:eastAsia="Bookman Old Style" w:hAnsi="Bookman Old Style" w:cs="Bookman Old Style"/>
          <w:color w:val="000000"/>
        </w:rPr>
      </w:pPr>
    </w:p>
    <w:p w14:paraId="4AC8351B" w14:textId="77777777" w:rsidR="00FD0412" w:rsidRDefault="00FD0412">
      <w:pPr>
        <w:rPr>
          <w:rFonts w:ascii="Bookman Old Style" w:eastAsia="Bookman Old Style" w:hAnsi="Bookman Old Style" w:cs="Bookman Old Style"/>
          <w:color w:val="000000"/>
        </w:rPr>
      </w:pPr>
    </w:p>
    <w:p w14:paraId="7DAA34A8" w14:textId="77777777" w:rsidR="00FD0412" w:rsidRDefault="00FD0412">
      <w:pPr>
        <w:rPr>
          <w:rFonts w:ascii="Bookman Old Style" w:eastAsia="Bookman Old Style" w:hAnsi="Bookman Old Style" w:cs="Bookman Old Style"/>
          <w:color w:val="000000"/>
        </w:rPr>
      </w:pPr>
    </w:p>
    <w:p w14:paraId="05B307CC" w14:textId="77777777" w:rsidR="00FD0412" w:rsidRDefault="00FD0412">
      <w:pPr>
        <w:rPr>
          <w:rFonts w:ascii="Bookman Old Style" w:eastAsia="Bookman Old Style" w:hAnsi="Bookman Old Style" w:cs="Bookman Old Style"/>
          <w:color w:val="000000"/>
        </w:rPr>
      </w:pPr>
    </w:p>
    <w:p w14:paraId="403ECCD7" w14:textId="77777777" w:rsidR="00FD0412" w:rsidRDefault="00FD0412">
      <w:pPr>
        <w:rPr>
          <w:rFonts w:ascii="Bookman Old Style" w:eastAsia="Bookman Old Style" w:hAnsi="Bookman Old Style" w:cs="Bookman Old Style"/>
        </w:rPr>
      </w:pPr>
    </w:p>
    <w:p w14:paraId="444522A1" w14:textId="77777777" w:rsidR="00FD0412" w:rsidRDefault="00FD0412">
      <w:pPr>
        <w:rPr>
          <w:rFonts w:ascii="Bookman Old Style" w:eastAsia="Bookman Old Style" w:hAnsi="Bookman Old Style" w:cs="Bookman Old Style"/>
        </w:rPr>
      </w:pPr>
    </w:p>
    <w:p w14:paraId="2B4E621E" w14:textId="77777777" w:rsidR="00FD0412" w:rsidRDefault="00FD0412">
      <w:pPr>
        <w:rPr>
          <w:rFonts w:ascii="Bookman Old Style" w:eastAsia="Bookman Old Style" w:hAnsi="Bookman Old Style" w:cs="Bookman Old Style"/>
        </w:rPr>
      </w:pPr>
    </w:p>
    <w:p w14:paraId="7916D463" w14:textId="77777777" w:rsidR="00FD0412" w:rsidRDefault="00FD0412">
      <w:pPr>
        <w:rPr>
          <w:rFonts w:ascii="Bookman Old Style" w:eastAsia="Bookman Old Style" w:hAnsi="Bookman Old Style" w:cs="Bookman Old Style"/>
        </w:rPr>
      </w:pPr>
    </w:p>
    <w:p w14:paraId="7BDEE2B5" w14:textId="77777777" w:rsidR="00FD0412" w:rsidRDefault="00FD0412">
      <w:pPr>
        <w:rPr>
          <w:rFonts w:ascii="Bookman Old Style" w:eastAsia="Bookman Old Style" w:hAnsi="Bookman Old Style" w:cs="Bookman Old Style"/>
        </w:rPr>
      </w:pPr>
    </w:p>
    <w:p w14:paraId="30AC26A0" w14:textId="77777777" w:rsidR="00FD0412" w:rsidRDefault="00FD0412">
      <w:pPr>
        <w:rPr>
          <w:rFonts w:ascii="Bookman Old Style" w:eastAsia="Bookman Old Style" w:hAnsi="Bookman Old Style" w:cs="Bookman Old Style"/>
        </w:rPr>
      </w:pPr>
    </w:p>
    <w:p w14:paraId="57529F1E" w14:textId="77777777" w:rsidR="00FD0412" w:rsidRDefault="00FD0412">
      <w:pPr>
        <w:rPr>
          <w:rFonts w:ascii="Bookman Old Style" w:eastAsia="Bookman Old Style" w:hAnsi="Bookman Old Style" w:cs="Bookman Old Style"/>
        </w:rPr>
      </w:pPr>
    </w:p>
    <w:p w14:paraId="17AF1752" w14:textId="77777777" w:rsidR="00FD0412" w:rsidRDefault="00FD0412">
      <w:pPr>
        <w:rPr>
          <w:rFonts w:ascii="Bookman Old Style" w:eastAsia="Bookman Old Style" w:hAnsi="Bookman Old Style" w:cs="Bookman Old Style"/>
        </w:rPr>
      </w:pPr>
    </w:p>
    <w:p w14:paraId="331E5AF7" w14:textId="77777777" w:rsidR="00FD0412" w:rsidRDefault="00FD0412">
      <w:pPr>
        <w:rPr>
          <w:rFonts w:ascii="Bookman Old Style" w:eastAsia="Bookman Old Style" w:hAnsi="Bookman Old Style" w:cs="Bookman Old Style"/>
        </w:rPr>
      </w:pPr>
    </w:p>
    <w:p w14:paraId="2E9475B8" w14:textId="77777777" w:rsidR="00FD0412" w:rsidRDefault="00FD0412">
      <w:pPr>
        <w:rPr>
          <w:rFonts w:ascii="Bookman Old Style" w:eastAsia="Bookman Old Style" w:hAnsi="Bookman Old Style" w:cs="Bookman Old Style"/>
        </w:rPr>
      </w:pPr>
    </w:p>
    <w:p w14:paraId="1074F255" w14:textId="77777777" w:rsidR="00FD0412" w:rsidRDefault="00FD0412">
      <w:pPr>
        <w:rPr>
          <w:rFonts w:ascii="Bookman Old Style" w:eastAsia="Bookman Old Style" w:hAnsi="Bookman Old Style" w:cs="Bookman Old Style"/>
        </w:rPr>
      </w:pPr>
    </w:p>
    <w:p w14:paraId="71815C3A" w14:textId="77777777" w:rsidR="00FD0412" w:rsidRDefault="00FD0412">
      <w:pPr>
        <w:rPr>
          <w:rFonts w:ascii="Bookman Old Style" w:eastAsia="Bookman Old Style" w:hAnsi="Bookman Old Style" w:cs="Bookman Old Style"/>
        </w:rPr>
      </w:pPr>
    </w:p>
    <w:p w14:paraId="0ABC0380" w14:textId="77777777" w:rsidR="00FD0412" w:rsidRDefault="00FD0412">
      <w:pPr>
        <w:rPr>
          <w:rFonts w:ascii="Bookman Old Style" w:eastAsia="Bookman Old Style" w:hAnsi="Bookman Old Style" w:cs="Bookman Old Style"/>
        </w:rPr>
      </w:pPr>
    </w:p>
    <w:p w14:paraId="69DF04AA" w14:textId="77777777" w:rsidR="00FD0412" w:rsidRDefault="00FD0412">
      <w:pPr>
        <w:rPr>
          <w:rFonts w:ascii="Bookman Old Style" w:eastAsia="Bookman Old Style" w:hAnsi="Bookman Old Style" w:cs="Bookman Old Style"/>
        </w:rPr>
      </w:pPr>
    </w:p>
    <w:p w14:paraId="2BC2CC52" w14:textId="5DCC4923" w:rsidR="00FD0412" w:rsidRDefault="00FD0412">
      <w:pPr>
        <w:rPr>
          <w:rFonts w:ascii="Bookman Old Style" w:eastAsia="Bookman Old Style" w:hAnsi="Bookman Old Style" w:cs="Bookman Old Style"/>
        </w:rPr>
      </w:pPr>
    </w:p>
    <w:p w14:paraId="011EA533" w14:textId="0FB45512" w:rsidR="00042D4C" w:rsidRDefault="00042D4C">
      <w:pPr>
        <w:rPr>
          <w:rFonts w:ascii="Bookman Old Style" w:eastAsia="Bookman Old Style" w:hAnsi="Bookman Old Style" w:cs="Bookman Old Style"/>
        </w:rPr>
      </w:pPr>
    </w:p>
    <w:p w14:paraId="14304838" w14:textId="1B4F3F8F" w:rsidR="00042D4C" w:rsidRDefault="00042D4C">
      <w:pPr>
        <w:rPr>
          <w:rFonts w:ascii="Bookman Old Style" w:eastAsia="Bookman Old Style" w:hAnsi="Bookman Old Style" w:cs="Bookman Old Style"/>
        </w:rPr>
      </w:pPr>
    </w:p>
    <w:p w14:paraId="4A461D6A" w14:textId="7EE34023" w:rsidR="00042D4C" w:rsidRDefault="00042D4C">
      <w:pPr>
        <w:rPr>
          <w:rFonts w:ascii="Bookman Old Style" w:eastAsia="Bookman Old Style" w:hAnsi="Bookman Old Style" w:cs="Bookman Old Style"/>
        </w:rPr>
      </w:pPr>
    </w:p>
    <w:p w14:paraId="6F2071F4" w14:textId="4AC08591" w:rsidR="00042D4C" w:rsidRDefault="00042D4C">
      <w:pPr>
        <w:rPr>
          <w:rFonts w:ascii="Bookman Old Style" w:eastAsia="Bookman Old Style" w:hAnsi="Bookman Old Style" w:cs="Bookman Old Style"/>
        </w:rPr>
      </w:pPr>
    </w:p>
    <w:p w14:paraId="56D0E31E" w14:textId="26A5CEC4" w:rsidR="00042D4C" w:rsidRDefault="00042D4C">
      <w:pPr>
        <w:rPr>
          <w:rFonts w:ascii="Bookman Old Style" w:eastAsia="Bookman Old Style" w:hAnsi="Bookman Old Style" w:cs="Bookman Old Style"/>
        </w:rPr>
      </w:pPr>
    </w:p>
    <w:p w14:paraId="41F9F903" w14:textId="2DD2D0B1" w:rsidR="00042D4C" w:rsidRDefault="00042D4C">
      <w:pPr>
        <w:rPr>
          <w:rFonts w:ascii="Bookman Old Style" w:eastAsia="Bookman Old Style" w:hAnsi="Bookman Old Style" w:cs="Bookman Old Style"/>
        </w:rPr>
      </w:pPr>
    </w:p>
    <w:p w14:paraId="0B9CDFA9" w14:textId="77777777" w:rsidR="00042D4C" w:rsidRDefault="00042D4C">
      <w:pPr>
        <w:rPr>
          <w:rFonts w:ascii="Bookman Old Style" w:eastAsia="Bookman Old Style" w:hAnsi="Bookman Old Style" w:cs="Bookman Old Style"/>
        </w:rPr>
      </w:pPr>
    </w:p>
    <w:p w14:paraId="6B25221B" w14:textId="67E3EFD5" w:rsidR="00FD0412" w:rsidRDefault="00FD0412">
      <w:pPr>
        <w:rPr>
          <w:rFonts w:ascii="Bookman Old Style" w:eastAsia="Bookman Old Style" w:hAnsi="Bookman Old Style" w:cs="Bookman Old Style"/>
        </w:rPr>
      </w:pPr>
    </w:p>
    <w:p w14:paraId="2E74B5E4" w14:textId="77777777" w:rsidR="00F17A23" w:rsidRDefault="00F17A23">
      <w:pPr>
        <w:rPr>
          <w:rFonts w:ascii="Bookman Old Style" w:eastAsia="Bookman Old Style" w:hAnsi="Bookman Old Style" w:cs="Bookman Old Style"/>
        </w:rPr>
      </w:pPr>
    </w:p>
    <w:p w14:paraId="0A9A481E" w14:textId="73F11FB1" w:rsidR="00FD0412" w:rsidRDefault="00042D4C">
      <w:pPr>
        <w:jc w:val="center"/>
        <w:rPr>
          <w:rFonts w:ascii="Bookman Old Style" w:eastAsia="Bookman Old Style" w:hAnsi="Bookman Old Style" w:cs="Bookman Old Style"/>
          <w:b/>
        </w:rPr>
      </w:pPr>
      <w:r>
        <w:rPr>
          <w:rFonts w:ascii="Bookman Old Style" w:eastAsia="Bookman Old Style" w:hAnsi="Bookman Old Style" w:cs="Bookman Old Style"/>
          <w:b/>
        </w:rPr>
        <w:lastRenderedPageBreak/>
        <w:t xml:space="preserve">8. </w:t>
      </w:r>
      <w:r w:rsidR="00B868F8">
        <w:rPr>
          <w:rFonts w:ascii="Bookman Old Style" w:eastAsia="Bookman Old Style" w:hAnsi="Bookman Old Style" w:cs="Bookman Old Style"/>
          <w:b/>
        </w:rPr>
        <w:t xml:space="preserve">TEXTO PROPUESTO PARA PRIMER DEBATE EN COMISIÓN PRIMERA AL PROYECTO DE LEY </w:t>
      </w:r>
      <w:proofErr w:type="spellStart"/>
      <w:r w:rsidR="00B868F8">
        <w:rPr>
          <w:rFonts w:ascii="Bookman Old Style" w:eastAsia="Bookman Old Style" w:hAnsi="Bookman Old Style" w:cs="Bookman Old Style"/>
          <w:b/>
        </w:rPr>
        <w:t>N°</w:t>
      </w:r>
      <w:proofErr w:type="spellEnd"/>
      <w:r w:rsidR="00B868F8">
        <w:rPr>
          <w:rFonts w:ascii="Bookman Old Style" w:eastAsia="Bookman Old Style" w:hAnsi="Bookman Old Style" w:cs="Bookman Old Style"/>
          <w:b/>
        </w:rPr>
        <w:t xml:space="preserve"> 525 DE 2025 CÁMARA </w:t>
      </w:r>
    </w:p>
    <w:p w14:paraId="5BCD665D" w14:textId="77777777" w:rsidR="00FD0412" w:rsidRDefault="00B868F8">
      <w:pPr>
        <w:ind w:right="49"/>
        <w:jc w:val="center"/>
        <w:rPr>
          <w:rFonts w:ascii="Bookman Old Style" w:eastAsia="Bookman Old Style" w:hAnsi="Bookman Old Style" w:cs="Bookman Old Style"/>
          <w:b/>
        </w:rPr>
      </w:pPr>
      <w:r>
        <w:rPr>
          <w:rFonts w:ascii="Bookman Old Style" w:eastAsia="Bookman Old Style" w:hAnsi="Bookman Old Style" w:cs="Bookman Old Style"/>
          <w:b/>
        </w:rPr>
        <w:t>“Por medio del cual se establecen medidas de responsabilidad del Estado en favor de las víctimas de delitos de lesa humanidad, graves infracciones a los derechos humanos y al derecho internacional humanitario cometidos con ocasión o en razón del conflicto armado interno”</w:t>
      </w:r>
    </w:p>
    <w:p w14:paraId="71DCD1DA" w14:textId="77777777" w:rsidR="00FD0412" w:rsidRDefault="00FD0412">
      <w:pPr>
        <w:jc w:val="both"/>
        <w:rPr>
          <w:rFonts w:ascii="Bookman Old Style" w:eastAsia="Bookman Old Style" w:hAnsi="Bookman Old Style" w:cs="Bookman Old Style"/>
        </w:rPr>
      </w:pPr>
    </w:p>
    <w:p w14:paraId="3F6B90C1" w14:textId="77777777" w:rsidR="00FD0412" w:rsidRDefault="00B868F8">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EL CONGRESO DE COLOMBIA, </w:t>
      </w:r>
    </w:p>
    <w:p w14:paraId="1C9D1FFF" w14:textId="77777777" w:rsidR="00FD0412" w:rsidRDefault="00B868F8">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DECRETA: </w:t>
      </w:r>
    </w:p>
    <w:p w14:paraId="52E131FB" w14:textId="77777777" w:rsidR="00FD0412" w:rsidRDefault="00FD0412">
      <w:pPr>
        <w:jc w:val="both"/>
        <w:rPr>
          <w:rFonts w:ascii="Bookman Old Style" w:eastAsia="Bookman Old Style" w:hAnsi="Bookman Old Style" w:cs="Bookman Old Style"/>
        </w:rPr>
      </w:pPr>
    </w:p>
    <w:p w14:paraId="3371B430" w14:textId="06652C16" w:rsidR="00042D4C" w:rsidRDefault="00042D4C" w:rsidP="00042D4C">
      <w:pPr>
        <w:jc w:val="both"/>
        <w:rPr>
          <w:rFonts w:ascii="Bookman Old Style" w:eastAsia="Times New Roman" w:hAnsi="Bookman Old Style" w:cs="Times New Roman"/>
          <w:color w:val="000000"/>
          <w:lang w:val="es-CO" w:eastAsia="es-CO"/>
        </w:rPr>
      </w:pPr>
      <w:r w:rsidRPr="00042D4C">
        <w:rPr>
          <w:rFonts w:ascii="Bookman Old Style" w:eastAsia="Times New Roman" w:hAnsi="Bookman Old Style" w:cs="Times New Roman"/>
          <w:b/>
          <w:bCs/>
          <w:color w:val="000000"/>
          <w:lang w:val="es-CO" w:eastAsia="es-CO"/>
        </w:rPr>
        <w:t>ARTÍCULO 1. OBJETO</w:t>
      </w:r>
      <w:r w:rsidRPr="00042D4C">
        <w:rPr>
          <w:rFonts w:ascii="Bookman Old Style" w:eastAsia="Times New Roman" w:hAnsi="Bookman Old Style" w:cs="Times New Roman"/>
          <w:color w:val="000000"/>
          <w:lang w:val="es-CO" w:eastAsia="es-CO"/>
        </w:rPr>
        <w:t>. La presente ley tiene por objeto establecer medidas de responsabilidad del Estado y adoptar disposiciones jurídicas que garanticen la reparación integral de las víctimas de ejecuciones extrajudiciales o falsos positivos, asegurando su acceso a la justicia mediante la flexibilización de las reglas procesales y el reconocimiento pleno de sus derechos</w:t>
      </w:r>
    </w:p>
    <w:p w14:paraId="7258F792" w14:textId="5A1E82FD" w:rsidR="00042D4C" w:rsidRDefault="00042D4C" w:rsidP="00042D4C">
      <w:pPr>
        <w:jc w:val="both"/>
        <w:rPr>
          <w:rFonts w:ascii="Bookman Old Style" w:eastAsia="Times New Roman" w:hAnsi="Bookman Old Style" w:cs="Times New Roman"/>
          <w:color w:val="000000"/>
          <w:lang w:val="es-CO" w:eastAsia="es-CO"/>
        </w:rPr>
      </w:pPr>
    </w:p>
    <w:p w14:paraId="5F9413ED" w14:textId="77777777" w:rsidR="00042D4C" w:rsidRPr="00042D4C" w:rsidRDefault="00042D4C" w:rsidP="00042D4C">
      <w:pPr>
        <w:jc w:val="both"/>
        <w:rPr>
          <w:rFonts w:ascii="Bookman Old Style" w:eastAsia="Times New Roman" w:hAnsi="Bookman Old Style" w:cs="Times New Roman"/>
          <w:lang w:val="es-CO" w:eastAsia="es-CO"/>
        </w:rPr>
      </w:pPr>
    </w:p>
    <w:p w14:paraId="2C1A6576" w14:textId="77777777" w:rsidR="00042D4C" w:rsidRPr="00042D4C" w:rsidRDefault="00042D4C" w:rsidP="00042D4C">
      <w:pPr>
        <w:jc w:val="both"/>
        <w:rPr>
          <w:rFonts w:ascii="Bookman Old Style" w:eastAsia="Times New Roman" w:hAnsi="Bookman Old Style" w:cs="Times New Roman"/>
          <w:lang w:val="es-CO" w:eastAsia="es-CO"/>
        </w:rPr>
      </w:pPr>
      <w:r w:rsidRPr="00042D4C">
        <w:rPr>
          <w:rFonts w:ascii="Bookman Old Style" w:eastAsia="Times New Roman" w:hAnsi="Bookman Old Style" w:cs="Times New Roman"/>
          <w:b/>
          <w:bCs/>
          <w:color w:val="000000"/>
          <w:lang w:val="es-CO" w:eastAsia="es-CO"/>
        </w:rPr>
        <w:t>ARTÍCULO 2. ÁMBITO DE APLICACIÓN.</w:t>
      </w:r>
      <w:r w:rsidRPr="00042D4C">
        <w:rPr>
          <w:rFonts w:ascii="Bookman Old Style" w:eastAsia="Times New Roman" w:hAnsi="Bookman Old Style" w:cs="Times New Roman"/>
          <w:color w:val="000000"/>
          <w:lang w:val="es-CO" w:eastAsia="es-CO"/>
        </w:rPr>
        <w:t xml:space="preserve"> Las disposiciones de la presente ley aplican para las actuaciones jurisdiccionales en las que operen reclamos de las víctimas de ejecuciones extrajudiciales o falsos positivos perpetrados por agentes del Estado en el marco del conflicto armado interno.</w:t>
      </w:r>
    </w:p>
    <w:p w14:paraId="3707F843" w14:textId="77777777" w:rsidR="00042D4C" w:rsidRDefault="00042D4C" w:rsidP="00042D4C">
      <w:pPr>
        <w:jc w:val="both"/>
        <w:rPr>
          <w:rFonts w:ascii="Bookman Old Style" w:eastAsia="Times New Roman" w:hAnsi="Bookman Old Style" w:cs="Times New Roman"/>
          <w:b/>
          <w:bCs/>
          <w:color w:val="000000"/>
          <w:lang w:val="es-CO" w:eastAsia="es-CO"/>
        </w:rPr>
      </w:pPr>
    </w:p>
    <w:p w14:paraId="7537BDAB" w14:textId="77777777" w:rsidR="00042D4C" w:rsidRDefault="00042D4C" w:rsidP="00042D4C">
      <w:pPr>
        <w:jc w:val="both"/>
        <w:rPr>
          <w:rFonts w:ascii="Bookman Old Style" w:eastAsia="Times New Roman" w:hAnsi="Bookman Old Style" w:cs="Times New Roman"/>
          <w:b/>
          <w:bCs/>
          <w:color w:val="000000"/>
          <w:lang w:val="es-CO" w:eastAsia="es-CO"/>
        </w:rPr>
      </w:pPr>
    </w:p>
    <w:p w14:paraId="0BB33969" w14:textId="6430FDDD" w:rsidR="00042D4C" w:rsidRDefault="00042D4C" w:rsidP="00042D4C">
      <w:pPr>
        <w:jc w:val="both"/>
        <w:rPr>
          <w:rFonts w:ascii="Bookman Old Style" w:eastAsia="Times New Roman" w:hAnsi="Bookman Old Style" w:cs="Times New Roman"/>
          <w:i/>
          <w:iCs/>
          <w:color w:val="000000"/>
          <w:shd w:val="clear" w:color="auto" w:fill="FFFFFF"/>
          <w:lang w:val="es-CO" w:eastAsia="es-CO"/>
        </w:rPr>
      </w:pPr>
      <w:r w:rsidRPr="00042D4C">
        <w:rPr>
          <w:rFonts w:ascii="Bookman Old Style" w:eastAsia="Times New Roman" w:hAnsi="Bookman Old Style" w:cs="Times New Roman"/>
          <w:b/>
          <w:bCs/>
          <w:color w:val="000000"/>
          <w:lang w:val="es-CO" w:eastAsia="es-CO"/>
        </w:rPr>
        <w:t xml:space="preserve">ARTÍCULO 3: </w:t>
      </w:r>
      <w:r w:rsidRPr="00042D4C">
        <w:rPr>
          <w:rFonts w:ascii="Bookman Old Style" w:eastAsia="Times New Roman" w:hAnsi="Bookman Old Style" w:cs="Times New Roman"/>
          <w:b/>
          <w:bCs/>
          <w:color w:val="000000"/>
          <w:shd w:val="clear" w:color="auto" w:fill="FFFFFF"/>
          <w:lang w:val="es-CO" w:eastAsia="es-CO"/>
        </w:rPr>
        <w:t>PRINCIPIO</w:t>
      </w:r>
      <w:r w:rsidRPr="00042D4C">
        <w:rPr>
          <w:rFonts w:ascii="Bookman Old Style" w:eastAsia="Times New Roman" w:hAnsi="Bookman Old Style" w:cs="Times New Roman"/>
          <w:b/>
          <w:bCs/>
          <w:i/>
          <w:iCs/>
          <w:color w:val="000000"/>
          <w:shd w:val="clear" w:color="auto" w:fill="FFFFFF"/>
          <w:lang w:val="es-CO" w:eastAsia="es-CO"/>
        </w:rPr>
        <w:t xml:space="preserve"> “PRO HOMINE”.</w:t>
      </w:r>
      <w:r w:rsidRPr="00042D4C">
        <w:rPr>
          <w:rFonts w:ascii="Bookman Old Style" w:eastAsia="Times New Roman" w:hAnsi="Bookman Old Style" w:cs="Times New Roman"/>
          <w:i/>
          <w:iCs/>
          <w:color w:val="000000"/>
          <w:shd w:val="clear" w:color="auto" w:fill="FFFFFF"/>
          <w:lang w:val="es-CO" w:eastAsia="es-CO"/>
        </w:rPr>
        <w:t xml:space="preserve"> </w:t>
      </w:r>
      <w:r w:rsidRPr="00042D4C">
        <w:rPr>
          <w:rFonts w:ascii="Bookman Old Style" w:eastAsia="Times New Roman" w:hAnsi="Bookman Old Style" w:cs="Times New Roman"/>
          <w:color w:val="000000"/>
          <w:shd w:val="clear" w:color="auto" w:fill="FFFFFF"/>
          <w:lang w:val="es-CO" w:eastAsia="es-CO"/>
        </w:rPr>
        <w:t>El juez o autoridad jurisdiccional estará obligado a aplicar la interpretación de las disposiciones de esta ley en aquellos aspectos que sean más favorable a las personas y sus derechos, esto es, la prevalencia de aquella interpretación que propenda por el respeto de la dignidad humana y consecuentemente por la protección, garantía y promoción de los derechos humanos y de los derechos fundamentales consagrados a nivel constitucional y convencional.</w:t>
      </w:r>
    </w:p>
    <w:p w14:paraId="4687EF36" w14:textId="67F0C1FB" w:rsidR="00042D4C" w:rsidRDefault="00042D4C" w:rsidP="00042D4C">
      <w:pPr>
        <w:jc w:val="both"/>
        <w:rPr>
          <w:rFonts w:ascii="Bookman Old Style" w:eastAsia="Times New Roman" w:hAnsi="Bookman Old Style" w:cs="Times New Roman"/>
          <w:i/>
          <w:iCs/>
          <w:color w:val="000000"/>
          <w:shd w:val="clear" w:color="auto" w:fill="FFFFFF"/>
          <w:lang w:val="es-CO" w:eastAsia="es-CO"/>
        </w:rPr>
      </w:pPr>
    </w:p>
    <w:p w14:paraId="1A4EB272" w14:textId="77777777" w:rsidR="00042D4C" w:rsidRPr="00042D4C" w:rsidRDefault="00042D4C" w:rsidP="00042D4C">
      <w:pPr>
        <w:jc w:val="both"/>
        <w:rPr>
          <w:rFonts w:ascii="Bookman Old Style" w:eastAsia="Times New Roman" w:hAnsi="Bookman Old Style" w:cs="Times New Roman"/>
          <w:lang w:val="es-CO" w:eastAsia="es-CO"/>
        </w:rPr>
      </w:pPr>
    </w:p>
    <w:p w14:paraId="75AE26F1" w14:textId="72F52331" w:rsidR="00042D4C" w:rsidRDefault="00042D4C" w:rsidP="00042D4C">
      <w:pPr>
        <w:jc w:val="both"/>
        <w:rPr>
          <w:rFonts w:ascii="Bookman Old Style" w:eastAsia="Times New Roman" w:hAnsi="Bookman Old Style" w:cs="Times New Roman"/>
          <w:color w:val="000000"/>
          <w:shd w:val="clear" w:color="auto" w:fill="FFFFFF"/>
          <w:lang w:val="es-CO" w:eastAsia="es-CO"/>
        </w:rPr>
      </w:pPr>
      <w:r w:rsidRPr="00042D4C">
        <w:rPr>
          <w:rFonts w:ascii="Bookman Old Style" w:eastAsia="Times New Roman" w:hAnsi="Bookman Old Style" w:cs="Times New Roman"/>
          <w:b/>
          <w:bCs/>
          <w:color w:val="000000"/>
          <w:lang w:val="es-CO" w:eastAsia="es-CO"/>
        </w:rPr>
        <w:t xml:space="preserve">ARTÍCULO 4: </w:t>
      </w:r>
      <w:r w:rsidRPr="00042D4C">
        <w:rPr>
          <w:rFonts w:ascii="Bookman Old Style" w:eastAsia="Times New Roman" w:hAnsi="Bookman Old Style" w:cs="Times New Roman"/>
          <w:b/>
          <w:bCs/>
          <w:color w:val="000000"/>
          <w:shd w:val="clear" w:color="auto" w:fill="FFFFFF"/>
          <w:lang w:val="es-CO" w:eastAsia="es-CO"/>
        </w:rPr>
        <w:t>APLICACIÓN NORMATIVA. </w:t>
      </w:r>
      <w:r w:rsidRPr="00042D4C">
        <w:rPr>
          <w:rFonts w:ascii="Bookman Old Style" w:eastAsia="Times New Roman" w:hAnsi="Bookman Old Style" w:cs="Times New Roman"/>
          <w:color w:val="000000"/>
          <w:shd w:val="clear" w:color="auto" w:fill="FFFFFF"/>
          <w:lang w:val="es-CO" w:eastAsia="es-CO"/>
        </w:rPr>
        <w:t>En lo dispuesto en la presente ley, prevalecerá lo establecido en los tratados y convenios internacionales ratificados por Colombia sobre Derecho Internacional Humanitario y Derechos Humanos que prohíban su limitación durante los estados de excepción, por formar parte del bloque de constitucionalidad.</w:t>
      </w:r>
    </w:p>
    <w:p w14:paraId="4154020A" w14:textId="77777777" w:rsidR="00042D4C" w:rsidRPr="00042D4C" w:rsidRDefault="00042D4C" w:rsidP="00042D4C">
      <w:pPr>
        <w:jc w:val="both"/>
        <w:rPr>
          <w:rFonts w:ascii="Bookman Old Style" w:eastAsia="Times New Roman" w:hAnsi="Bookman Old Style" w:cs="Times New Roman"/>
          <w:lang w:val="es-CO" w:eastAsia="es-CO"/>
        </w:rPr>
      </w:pPr>
    </w:p>
    <w:p w14:paraId="3518D56D" w14:textId="77777777" w:rsidR="00042D4C" w:rsidRPr="00042D4C" w:rsidRDefault="00042D4C" w:rsidP="00042D4C">
      <w:pPr>
        <w:jc w:val="both"/>
        <w:rPr>
          <w:rFonts w:ascii="Bookman Old Style" w:eastAsia="Times New Roman" w:hAnsi="Bookman Old Style" w:cs="Times New Roman"/>
          <w:lang w:val="es-CO" w:eastAsia="es-CO"/>
        </w:rPr>
      </w:pPr>
      <w:r w:rsidRPr="00042D4C">
        <w:rPr>
          <w:rFonts w:ascii="Bookman Old Style" w:eastAsia="Times New Roman" w:hAnsi="Bookman Old Style" w:cs="Times New Roman"/>
          <w:color w:val="000000"/>
          <w:shd w:val="clear" w:color="auto" w:fill="FFFFFF"/>
          <w:lang w:val="es-CO" w:eastAsia="es-CO"/>
        </w:rPr>
        <w:t>Serán parámetros de interpretación los tratados internacionales de derechos humanos que se consideran como imperativos para todos los Estados que protejan a las víctimas de crímenes de lesa humanidad en interpretación del artículo 94 de la Constitución.</w:t>
      </w:r>
    </w:p>
    <w:p w14:paraId="14C08367" w14:textId="4EDF218F" w:rsidR="00042D4C" w:rsidRDefault="00042D4C" w:rsidP="00042D4C">
      <w:pPr>
        <w:jc w:val="both"/>
        <w:rPr>
          <w:rFonts w:ascii="Bookman Old Style" w:eastAsia="Times New Roman" w:hAnsi="Bookman Old Style" w:cs="Times New Roman"/>
          <w:color w:val="000000"/>
          <w:u w:val="single"/>
          <w:lang w:val="es-CO" w:eastAsia="es-CO"/>
        </w:rPr>
      </w:pPr>
      <w:r w:rsidRPr="00042D4C">
        <w:rPr>
          <w:rFonts w:ascii="Bookman Old Style" w:eastAsia="Times New Roman" w:hAnsi="Bookman Old Style" w:cs="Times New Roman"/>
          <w:b/>
          <w:bCs/>
          <w:color w:val="000000"/>
          <w:lang w:val="es-CO" w:eastAsia="es-CO"/>
        </w:rPr>
        <w:lastRenderedPageBreak/>
        <w:t>ARTÍCULO 5.</w:t>
      </w:r>
      <w:r w:rsidRPr="00042D4C">
        <w:rPr>
          <w:rFonts w:ascii="Bookman Old Style" w:eastAsia="Times New Roman" w:hAnsi="Bookman Old Style" w:cs="Times New Roman"/>
          <w:color w:val="000000"/>
          <w:lang w:val="es-CO" w:eastAsia="es-CO"/>
        </w:rPr>
        <w:t xml:space="preserve"> Adiciónese un inciso y dos parágrafos al literal i del numeral 2 del </w:t>
      </w:r>
      <w:r w:rsidRPr="00042D4C">
        <w:rPr>
          <w:rFonts w:ascii="Bookman Old Style" w:eastAsia="Times New Roman" w:hAnsi="Bookman Old Style" w:cs="Times New Roman"/>
          <w:color w:val="000000"/>
          <w:u w:val="single"/>
          <w:lang w:val="es-CO" w:eastAsia="es-CO"/>
        </w:rPr>
        <w:t>artículo 164 de la Ley 1437 de 2011:</w:t>
      </w:r>
    </w:p>
    <w:p w14:paraId="61174250" w14:textId="77777777" w:rsidR="00042D4C" w:rsidRPr="00042D4C" w:rsidRDefault="00042D4C" w:rsidP="00042D4C">
      <w:pPr>
        <w:jc w:val="both"/>
        <w:rPr>
          <w:rFonts w:ascii="Bookman Old Style" w:eastAsia="Times New Roman" w:hAnsi="Bookman Old Style" w:cs="Times New Roman"/>
          <w:lang w:val="es-CO" w:eastAsia="es-CO"/>
        </w:rPr>
      </w:pPr>
    </w:p>
    <w:p w14:paraId="387DC0DD" w14:textId="77777777" w:rsidR="00042D4C" w:rsidRPr="00042D4C" w:rsidRDefault="00042D4C" w:rsidP="00042D4C">
      <w:pPr>
        <w:ind w:left="284"/>
        <w:jc w:val="both"/>
        <w:rPr>
          <w:rFonts w:ascii="Bookman Old Style" w:eastAsia="Times New Roman" w:hAnsi="Bookman Old Style" w:cs="Times New Roman"/>
          <w:lang w:val="es-CO" w:eastAsia="es-CO"/>
        </w:rPr>
      </w:pPr>
      <w:r w:rsidRPr="00042D4C">
        <w:rPr>
          <w:rFonts w:ascii="Bookman Old Style" w:eastAsia="Times New Roman" w:hAnsi="Bookman Old Style" w:cs="Times New Roman"/>
          <w:color w:val="000000"/>
          <w:u w:val="single"/>
          <w:lang w:val="es-CO" w:eastAsia="es-CO"/>
        </w:rPr>
        <w:t>(…)</w:t>
      </w:r>
    </w:p>
    <w:p w14:paraId="4C850B15" w14:textId="77777777" w:rsidR="00042D4C" w:rsidRDefault="00042D4C" w:rsidP="00042D4C">
      <w:pPr>
        <w:ind w:left="284"/>
        <w:jc w:val="both"/>
        <w:rPr>
          <w:rFonts w:ascii="Bookman Old Style" w:eastAsia="Times New Roman" w:hAnsi="Bookman Old Style" w:cs="Times New Roman"/>
          <w:color w:val="000000"/>
          <w:lang w:val="es-CO" w:eastAsia="es-CO"/>
        </w:rPr>
      </w:pPr>
    </w:p>
    <w:p w14:paraId="4B5CABD6" w14:textId="5457EF52" w:rsidR="00042D4C" w:rsidRPr="00042D4C" w:rsidRDefault="00042D4C" w:rsidP="00042D4C">
      <w:pPr>
        <w:ind w:left="284"/>
        <w:jc w:val="both"/>
        <w:rPr>
          <w:rFonts w:ascii="Bookman Old Style" w:eastAsia="Times New Roman" w:hAnsi="Bookman Old Style" w:cs="Times New Roman"/>
          <w:lang w:val="es-CO" w:eastAsia="es-CO"/>
        </w:rPr>
      </w:pPr>
      <w:r w:rsidRPr="00042D4C">
        <w:rPr>
          <w:rFonts w:ascii="Bookman Old Style" w:eastAsia="Times New Roman" w:hAnsi="Bookman Old Style" w:cs="Times New Roman"/>
          <w:color w:val="000000"/>
          <w:lang w:val="es-CO" w:eastAsia="es-CO"/>
        </w:rPr>
        <w:t>En casos de ejecuciones extrajudiciales o falsos positivos, se flexibiliza el plazo de caducidad el cual se contará desde el momento en que las víctimas tuvieron un conocimiento real y efectivo de la participación del agente estatal, sin que esto limite su derecho a presentar la demanda desde la fecha de ocurrencia del daño, si así lo prefieren.</w:t>
      </w:r>
    </w:p>
    <w:p w14:paraId="3D390A82" w14:textId="77777777" w:rsidR="00042D4C" w:rsidRPr="00042D4C" w:rsidRDefault="00042D4C" w:rsidP="00042D4C">
      <w:pPr>
        <w:ind w:left="284"/>
        <w:rPr>
          <w:rFonts w:ascii="Bookman Old Style" w:eastAsia="Times New Roman" w:hAnsi="Bookman Old Style" w:cs="Times New Roman"/>
          <w:lang w:val="es-CO" w:eastAsia="es-CO"/>
        </w:rPr>
      </w:pPr>
    </w:p>
    <w:p w14:paraId="5054E7EE" w14:textId="77777777" w:rsidR="00042D4C" w:rsidRPr="00042D4C" w:rsidRDefault="00042D4C" w:rsidP="00042D4C">
      <w:pPr>
        <w:ind w:left="284"/>
        <w:jc w:val="both"/>
        <w:rPr>
          <w:rFonts w:ascii="Bookman Old Style" w:eastAsia="Times New Roman" w:hAnsi="Bookman Old Style" w:cs="Times New Roman"/>
          <w:lang w:val="es-CO" w:eastAsia="es-CO"/>
        </w:rPr>
      </w:pPr>
      <w:r w:rsidRPr="00042D4C">
        <w:rPr>
          <w:rFonts w:ascii="Bookman Old Style" w:eastAsia="Times New Roman" w:hAnsi="Bookman Old Style" w:cs="Times New Roman"/>
          <w:b/>
          <w:bCs/>
          <w:color w:val="000000"/>
          <w:lang w:val="es-CO" w:eastAsia="es-CO"/>
        </w:rPr>
        <w:t>Parágrafo 1.</w:t>
      </w:r>
      <w:r w:rsidRPr="00042D4C">
        <w:rPr>
          <w:rFonts w:ascii="Bookman Old Style" w:eastAsia="Times New Roman" w:hAnsi="Bookman Old Style" w:cs="Times New Roman"/>
          <w:color w:val="000000"/>
          <w:lang w:val="es-CO" w:eastAsia="es-CO"/>
        </w:rPr>
        <w:t xml:space="preserve"> Establézcase un término de un (1) año, contado a partir de la entrada en vigor de esta ley, para que las víctimas de ejecuciones extrajudiciales o falsos positivos, cuya demanda de reparación directa haya sido rechazada por vencimiento del plazo de caducidad, contado desde la fecha de ocurrencia del daño, puedan interponer nuevamente la acción.</w:t>
      </w:r>
    </w:p>
    <w:p w14:paraId="0C5C6981" w14:textId="77777777" w:rsidR="00042D4C" w:rsidRDefault="00042D4C" w:rsidP="00042D4C">
      <w:pPr>
        <w:ind w:left="284"/>
        <w:jc w:val="both"/>
        <w:rPr>
          <w:rFonts w:ascii="Bookman Old Style" w:eastAsia="Times New Roman" w:hAnsi="Bookman Old Style" w:cs="Times New Roman"/>
          <w:color w:val="000000"/>
          <w:lang w:val="es-CO" w:eastAsia="es-CO"/>
        </w:rPr>
      </w:pPr>
    </w:p>
    <w:p w14:paraId="645272F8" w14:textId="47D3331B" w:rsidR="00042D4C" w:rsidRPr="00042D4C" w:rsidRDefault="00042D4C" w:rsidP="00042D4C">
      <w:pPr>
        <w:ind w:left="284"/>
        <w:jc w:val="both"/>
        <w:rPr>
          <w:rFonts w:ascii="Bookman Old Style" w:eastAsia="Times New Roman" w:hAnsi="Bookman Old Style" w:cs="Times New Roman"/>
          <w:lang w:val="es-CO" w:eastAsia="es-CO"/>
        </w:rPr>
      </w:pPr>
      <w:r w:rsidRPr="00042D4C">
        <w:rPr>
          <w:rFonts w:ascii="Bookman Old Style" w:eastAsia="Times New Roman" w:hAnsi="Bookman Old Style" w:cs="Times New Roman"/>
          <w:b/>
          <w:bCs/>
          <w:color w:val="000000"/>
          <w:lang w:val="es-CO" w:eastAsia="es-CO"/>
        </w:rPr>
        <w:t>Parágrafo 2:</w:t>
      </w:r>
      <w:r w:rsidRPr="00042D4C">
        <w:rPr>
          <w:rFonts w:ascii="Bookman Old Style" w:eastAsia="Times New Roman" w:hAnsi="Bookman Old Style" w:cs="Times New Roman"/>
          <w:color w:val="000000"/>
          <w:lang w:val="es-CO" w:eastAsia="es-CO"/>
        </w:rPr>
        <w:t xml:space="preserve"> Para efectos de esta disposición, se entenderá por "conocimiento real y efectivo" el momento en que la víctima o sus familiares cuenten con elementos probatorios que les permitan inferir razonablemente la participación del agente estatal en los hechos.</w:t>
      </w:r>
    </w:p>
    <w:p w14:paraId="4A11884F" w14:textId="77777777" w:rsidR="00042D4C" w:rsidRPr="00042D4C" w:rsidRDefault="00042D4C" w:rsidP="00042D4C">
      <w:pPr>
        <w:ind w:left="284"/>
        <w:jc w:val="both"/>
        <w:rPr>
          <w:rFonts w:ascii="Bookman Old Style" w:eastAsia="Times New Roman" w:hAnsi="Bookman Old Style" w:cs="Times New Roman"/>
          <w:lang w:val="es-CO" w:eastAsia="es-CO"/>
        </w:rPr>
      </w:pPr>
      <w:r w:rsidRPr="00042D4C">
        <w:rPr>
          <w:rFonts w:ascii="Bookman Old Style" w:eastAsia="Times New Roman" w:hAnsi="Bookman Old Style" w:cs="Times New Roman"/>
          <w:color w:val="000000"/>
          <w:lang w:val="es-CO" w:eastAsia="es-CO"/>
        </w:rPr>
        <w:br/>
        <w:t>Este plazo adicional no limita la posibilidad de que las víctimas que hayan tenido conocimiento real y efectivo de la participación del agente estatal dentro del término original puedan demandar conforme a las reglas generales de caducidad previstas en la presente disposición.</w:t>
      </w:r>
    </w:p>
    <w:p w14:paraId="1DA70DFA" w14:textId="6420EB94" w:rsidR="00042D4C" w:rsidRDefault="00042D4C" w:rsidP="00042D4C">
      <w:pPr>
        <w:rPr>
          <w:rFonts w:ascii="Bookman Old Style" w:eastAsia="Times New Roman" w:hAnsi="Bookman Old Style" w:cs="Times New Roman"/>
          <w:lang w:val="es-CO" w:eastAsia="es-CO"/>
        </w:rPr>
      </w:pPr>
    </w:p>
    <w:p w14:paraId="5DFA69FA" w14:textId="77777777" w:rsidR="00042D4C" w:rsidRPr="00042D4C" w:rsidRDefault="00042D4C" w:rsidP="00042D4C">
      <w:pPr>
        <w:rPr>
          <w:rFonts w:ascii="Bookman Old Style" w:eastAsia="Times New Roman" w:hAnsi="Bookman Old Style" w:cs="Times New Roman"/>
          <w:lang w:val="es-CO" w:eastAsia="es-CO"/>
        </w:rPr>
      </w:pPr>
    </w:p>
    <w:p w14:paraId="2CCFEA0B" w14:textId="50483368" w:rsidR="00042D4C" w:rsidRDefault="00042D4C" w:rsidP="00042D4C">
      <w:pPr>
        <w:jc w:val="both"/>
        <w:rPr>
          <w:rFonts w:ascii="Bookman Old Style" w:eastAsia="Times New Roman" w:hAnsi="Bookman Old Style" w:cs="Times New Roman"/>
          <w:color w:val="000000"/>
          <w:lang w:val="es-CO" w:eastAsia="es-CO"/>
        </w:rPr>
      </w:pPr>
      <w:r w:rsidRPr="00042D4C">
        <w:rPr>
          <w:rFonts w:ascii="Bookman Old Style" w:eastAsia="Times New Roman" w:hAnsi="Bookman Old Style" w:cs="Times New Roman"/>
          <w:color w:val="000000"/>
          <w:u w:val="single"/>
          <w:lang w:val="es-CO" w:eastAsia="es-CO"/>
        </w:rPr>
        <w:t> </w:t>
      </w:r>
      <w:r w:rsidRPr="00042D4C">
        <w:rPr>
          <w:rFonts w:ascii="Bookman Old Style" w:eastAsia="Times New Roman" w:hAnsi="Bookman Old Style" w:cs="Times New Roman"/>
          <w:b/>
          <w:bCs/>
          <w:color w:val="000000"/>
          <w:lang w:val="es-CO" w:eastAsia="es-CO"/>
        </w:rPr>
        <w:t>ARTÍCULO 6.</w:t>
      </w:r>
      <w:r w:rsidRPr="00042D4C">
        <w:rPr>
          <w:rFonts w:ascii="Bookman Old Style" w:eastAsia="Times New Roman" w:hAnsi="Bookman Old Style" w:cs="Times New Roman"/>
          <w:color w:val="000000"/>
          <w:lang w:val="es-CO" w:eastAsia="es-CO"/>
        </w:rPr>
        <w:t xml:space="preserve"> Compleméntese el inciso 4 del artículo 103 de la Ley 1437 de 2011, el cual quedará así:</w:t>
      </w:r>
    </w:p>
    <w:p w14:paraId="7CE909CC" w14:textId="77777777" w:rsidR="00042D4C" w:rsidRPr="00042D4C" w:rsidRDefault="00042D4C" w:rsidP="00042D4C">
      <w:pPr>
        <w:jc w:val="both"/>
        <w:rPr>
          <w:rFonts w:ascii="Bookman Old Style" w:eastAsia="Times New Roman" w:hAnsi="Bookman Old Style" w:cs="Times New Roman"/>
          <w:lang w:val="es-CO" w:eastAsia="es-CO"/>
        </w:rPr>
      </w:pPr>
    </w:p>
    <w:p w14:paraId="3F5260A4" w14:textId="77777777" w:rsidR="00042D4C" w:rsidRPr="00042D4C" w:rsidRDefault="00042D4C" w:rsidP="00042D4C">
      <w:pPr>
        <w:ind w:left="284"/>
        <w:jc w:val="both"/>
        <w:rPr>
          <w:rFonts w:ascii="Bookman Old Style" w:eastAsia="Times New Roman" w:hAnsi="Bookman Old Style" w:cs="Times New Roman"/>
          <w:b/>
          <w:bCs/>
          <w:lang w:val="es-CO" w:eastAsia="es-CO"/>
        </w:rPr>
      </w:pPr>
      <w:r w:rsidRPr="00042D4C">
        <w:rPr>
          <w:rFonts w:ascii="Bookman Old Style" w:eastAsia="Times New Roman" w:hAnsi="Bookman Old Style" w:cs="Times New Roman"/>
          <w:b/>
          <w:bCs/>
          <w:color w:val="000000"/>
          <w:lang w:val="es-CO" w:eastAsia="es-CO"/>
        </w:rPr>
        <w:t>ARTÍCULO 103. Objeto y principios.</w:t>
      </w:r>
    </w:p>
    <w:p w14:paraId="743528A6" w14:textId="77777777" w:rsidR="00042D4C" w:rsidRDefault="00042D4C" w:rsidP="00042D4C">
      <w:pPr>
        <w:ind w:left="284"/>
        <w:jc w:val="both"/>
        <w:rPr>
          <w:rFonts w:ascii="Bookman Old Style" w:eastAsia="Times New Roman" w:hAnsi="Bookman Old Style" w:cs="Times New Roman"/>
          <w:color w:val="000000"/>
          <w:lang w:val="es-CO" w:eastAsia="es-CO"/>
        </w:rPr>
      </w:pPr>
    </w:p>
    <w:p w14:paraId="565259B4" w14:textId="36656DC1" w:rsidR="00042D4C" w:rsidRDefault="00042D4C" w:rsidP="00042D4C">
      <w:pPr>
        <w:ind w:left="284"/>
        <w:jc w:val="both"/>
        <w:rPr>
          <w:rFonts w:ascii="Bookman Old Style" w:eastAsia="Times New Roman" w:hAnsi="Bookman Old Style" w:cs="Times New Roman"/>
          <w:color w:val="000000"/>
          <w:lang w:val="es-CO" w:eastAsia="es-CO"/>
        </w:rPr>
      </w:pPr>
      <w:r w:rsidRPr="00042D4C">
        <w:rPr>
          <w:rFonts w:ascii="Bookman Old Style" w:eastAsia="Times New Roman" w:hAnsi="Bookman Old Style" w:cs="Times New Roman"/>
          <w:color w:val="000000"/>
          <w:lang w:val="es-CO" w:eastAsia="es-CO"/>
        </w:rPr>
        <w:t>(…)</w:t>
      </w:r>
    </w:p>
    <w:p w14:paraId="6C304BEB" w14:textId="77777777" w:rsidR="00042D4C" w:rsidRPr="00042D4C" w:rsidRDefault="00042D4C" w:rsidP="00042D4C">
      <w:pPr>
        <w:ind w:left="284"/>
        <w:jc w:val="both"/>
        <w:rPr>
          <w:rFonts w:ascii="Bookman Old Style" w:eastAsia="Times New Roman" w:hAnsi="Bookman Old Style" w:cs="Times New Roman"/>
          <w:lang w:val="es-CO" w:eastAsia="es-CO"/>
        </w:rPr>
      </w:pPr>
    </w:p>
    <w:p w14:paraId="30483E56" w14:textId="77777777" w:rsidR="00042D4C" w:rsidRPr="00042D4C" w:rsidRDefault="00042D4C" w:rsidP="00042D4C">
      <w:pPr>
        <w:ind w:left="284"/>
        <w:jc w:val="both"/>
        <w:rPr>
          <w:rFonts w:ascii="Bookman Old Style" w:eastAsia="Times New Roman" w:hAnsi="Bookman Old Style" w:cs="Times New Roman"/>
          <w:lang w:val="es-CO" w:eastAsia="es-CO"/>
        </w:rPr>
      </w:pPr>
      <w:r w:rsidRPr="00042D4C">
        <w:rPr>
          <w:rFonts w:ascii="Bookman Old Style" w:eastAsia="Times New Roman" w:hAnsi="Bookman Old Style" w:cs="Times New Roman"/>
          <w:color w:val="000000"/>
          <w:shd w:val="clear" w:color="auto" w:fill="FFFFFF"/>
          <w:lang w:val="es-CO" w:eastAsia="es-CO"/>
        </w:rPr>
        <w:t xml:space="preserve">Quien acuda ante la Jurisdicción de lo Contencioso Administrativo, en cumplimiento del deber constitucional de colaboración para el buen funcionamiento de la administración de justicia, estará en la obligación de cumplir con las cargas procesales y probatorias previstas en este Código. </w:t>
      </w:r>
      <w:r w:rsidRPr="00042D4C">
        <w:rPr>
          <w:rFonts w:ascii="Bookman Old Style" w:eastAsia="Times New Roman" w:hAnsi="Bookman Old Style" w:cs="Times New Roman"/>
          <w:color w:val="000000"/>
          <w:u w:val="single"/>
          <w:shd w:val="clear" w:color="auto" w:fill="FFFFFF"/>
          <w:lang w:val="es-CO" w:eastAsia="es-CO"/>
        </w:rPr>
        <w:t xml:space="preserve">Sin embargo, en aquellos casos en los que se discuta la reparación a las víctimas de crímenes de lesa humanidad o graves infracciones a los derechos humanos o al derecho internacional humanitario que incluyen conductas como ejecuciones extrajudiciales, desaparición forzada, tortura </w:t>
      </w:r>
      <w:r w:rsidRPr="00042D4C">
        <w:rPr>
          <w:rFonts w:ascii="Bookman Old Style" w:eastAsia="Times New Roman" w:hAnsi="Bookman Old Style" w:cs="Times New Roman"/>
          <w:color w:val="000000"/>
          <w:u w:val="single"/>
          <w:shd w:val="clear" w:color="auto" w:fill="FFFFFF"/>
          <w:lang w:val="es-CO" w:eastAsia="es-CO"/>
        </w:rPr>
        <w:lastRenderedPageBreak/>
        <w:t xml:space="preserve">cometida por agentes del Estado, entre otras, el juez o magistrado que conoce del caso podrá flexibilizar las reglas probatorias y en aquellos casos en los que se advierte asimetría evidente de las partes y la mayor cercanía de una de estas con la prueba, incluso, invertir o distribuir la carga de la prueba. </w:t>
      </w:r>
      <w:r w:rsidRPr="00042D4C">
        <w:rPr>
          <w:rFonts w:ascii="Bookman Old Style" w:eastAsia="Times New Roman" w:hAnsi="Bookman Old Style" w:cs="Times New Roman"/>
          <w:color w:val="000000"/>
          <w:shd w:val="clear" w:color="auto" w:fill="FFFFFF"/>
          <w:lang w:val="es-CO" w:eastAsia="es-CO"/>
        </w:rPr>
        <w:t> </w:t>
      </w:r>
    </w:p>
    <w:p w14:paraId="2AB222DD" w14:textId="77777777" w:rsidR="00042D4C" w:rsidRDefault="00042D4C" w:rsidP="00042D4C">
      <w:pPr>
        <w:jc w:val="both"/>
        <w:rPr>
          <w:rFonts w:ascii="Bookman Old Style" w:eastAsia="Times New Roman" w:hAnsi="Bookman Old Style" w:cs="Times New Roman"/>
          <w:lang w:val="es-CO" w:eastAsia="es-CO"/>
        </w:rPr>
      </w:pPr>
    </w:p>
    <w:p w14:paraId="3440AAA9" w14:textId="77777777" w:rsidR="00042D4C" w:rsidRDefault="00042D4C" w:rsidP="00042D4C">
      <w:pPr>
        <w:jc w:val="both"/>
        <w:rPr>
          <w:rFonts w:ascii="Bookman Old Style" w:eastAsia="Times New Roman" w:hAnsi="Bookman Old Style" w:cs="Times New Roman"/>
          <w:lang w:val="es-CO" w:eastAsia="es-CO"/>
        </w:rPr>
      </w:pPr>
    </w:p>
    <w:p w14:paraId="31F4CEF1" w14:textId="0EF0502E" w:rsidR="00FD0412" w:rsidRPr="00042D4C" w:rsidRDefault="00042D4C" w:rsidP="00042D4C">
      <w:pPr>
        <w:jc w:val="both"/>
        <w:rPr>
          <w:rFonts w:ascii="Bookman Old Style" w:eastAsia="Bookman Old Style" w:hAnsi="Bookman Old Style" w:cs="Bookman Old Style"/>
        </w:rPr>
      </w:pPr>
      <w:r w:rsidRPr="00042D4C">
        <w:rPr>
          <w:rFonts w:ascii="Bookman Old Style" w:eastAsia="Times New Roman" w:hAnsi="Bookman Old Style" w:cs="Times New Roman"/>
          <w:b/>
          <w:bCs/>
          <w:color w:val="000000"/>
          <w:lang w:val="es-CO" w:eastAsia="es-CO"/>
        </w:rPr>
        <w:t>ARTÍCULO 7. VIGENCIA Y DEROGATORIAS.</w:t>
      </w:r>
      <w:r w:rsidRPr="00042D4C">
        <w:rPr>
          <w:rFonts w:ascii="Bookman Old Style" w:eastAsia="Times New Roman" w:hAnsi="Bookman Old Style" w:cs="Times New Roman"/>
          <w:color w:val="000000"/>
          <w:lang w:val="es-CO" w:eastAsia="es-CO"/>
        </w:rPr>
        <w:t xml:space="preserve"> La presente ley rige a partir de su promulgación y deroga todas las disposiciones que le sean contrarias.</w:t>
      </w:r>
    </w:p>
    <w:p w14:paraId="17B3C381" w14:textId="77777777" w:rsidR="00FD0412" w:rsidRDefault="00FD0412">
      <w:pPr>
        <w:rPr>
          <w:rFonts w:ascii="Bookman Old Style" w:eastAsia="Bookman Old Style" w:hAnsi="Bookman Old Style" w:cs="Bookman Old Style"/>
          <w:color w:val="000000"/>
        </w:rPr>
      </w:pPr>
    </w:p>
    <w:p w14:paraId="665FD812" w14:textId="77777777" w:rsidR="00FD0412" w:rsidRDefault="00FD0412">
      <w:pPr>
        <w:rPr>
          <w:rFonts w:ascii="Bookman Old Style" w:eastAsia="Bookman Old Style" w:hAnsi="Bookman Old Style" w:cs="Bookman Old Style"/>
          <w:color w:val="000000"/>
        </w:rPr>
      </w:pPr>
    </w:p>
    <w:p w14:paraId="05F10AD3" w14:textId="77777777" w:rsidR="00FD0412" w:rsidRDefault="00B868F8">
      <w:pP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Atentamente, </w:t>
      </w:r>
    </w:p>
    <w:p w14:paraId="0B3903CB" w14:textId="77777777" w:rsidR="00FD0412" w:rsidRDefault="00FD0412">
      <w:pPr>
        <w:rPr>
          <w:rFonts w:ascii="Bookman Old Style" w:eastAsia="Bookman Old Style" w:hAnsi="Bookman Old Style" w:cs="Bookman Old Style"/>
          <w:color w:val="000000"/>
        </w:rPr>
      </w:pPr>
    </w:p>
    <w:p w14:paraId="25532CA2" w14:textId="47763184" w:rsidR="00FD0412" w:rsidRDefault="00FD0412">
      <w:pPr>
        <w:rPr>
          <w:rFonts w:ascii="Bookman Old Style" w:eastAsia="Bookman Old Style" w:hAnsi="Bookman Old Style" w:cs="Bookman Old Style"/>
          <w:color w:val="000000"/>
        </w:rPr>
      </w:pPr>
    </w:p>
    <w:p w14:paraId="1C566E7F" w14:textId="77777777" w:rsidR="00042D4C" w:rsidRDefault="00042D4C">
      <w:pPr>
        <w:rPr>
          <w:rFonts w:ascii="Bookman Old Style" w:eastAsia="Bookman Old Style" w:hAnsi="Bookman Old Style" w:cs="Bookman Old Style"/>
          <w:color w:val="000000"/>
        </w:rPr>
      </w:pPr>
    </w:p>
    <w:tbl>
      <w:tblPr>
        <w:tblStyle w:val="Tablaconcuadrcula"/>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96"/>
      </w:tblGrid>
      <w:tr w:rsidR="00042D4C" w14:paraId="012C8C95" w14:textId="77777777" w:rsidTr="0087649C">
        <w:tc>
          <w:tcPr>
            <w:tcW w:w="4702" w:type="dxa"/>
          </w:tcPr>
          <w:p w14:paraId="7057A071" w14:textId="77777777" w:rsidR="00042D4C" w:rsidRDefault="00042D4C" w:rsidP="0087649C">
            <w:pPr>
              <w:rPr>
                <w:rFonts w:ascii="Bookman Old Style" w:eastAsia="Bookman Old Style" w:hAnsi="Bookman Old Style" w:cs="Bookman Old Style"/>
                <w:b/>
              </w:rPr>
            </w:pPr>
            <w:r>
              <w:rPr>
                <w:rFonts w:ascii="Bookman Old Style" w:eastAsia="Bookman Old Style" w:hAnsi="Bookman Old Style" w:cs="Bookman Old Style"/>
                <w:b/>
              </w:rPr>
              <w:t>Jorge Eliécer Tamayo Marulanda</w:t>
            </w:r>
          </w:p>
          <w:p w14:paraId="6CB2F2C7" w14:textId="77777777" w:rsidR="00042D4C" w:rsidRPr="00042D4C" w:rsidRDefault="00042D4C" w:rsidP="0087649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tc>
        <w:tc>
          <w:tcPr>
            <w:tcW w:w="4796" w:type="dxa"/>
          </w:tcPr>
          <w:p w14:paraId="2818B381" w14:textId="77777777" w:rsidR="00042D4C" w:rsidRDefault="003C1753" w:rsidP="0087649C">
            <w:pPr>
              <w:jc w:val="both"/>
              <w:rPr>
                <w:b/>
                <w:bCs/>
              </w:rPr>
            </w:pPr>
            <w:hyperlink r:id="rId72">
              <w:r w:rsidR="00042D4C" w:rsidRPr="00042D4C">
                <w:rPr>
                  <w:rFonts w:ascii="Bookman Old Style" w:eastAsia="Bookman Old Style" w:hAnsi="Bookman Old Style" w:cs="Bookman Old Style"/>
                  <w:b/>
                  <w:bCs/>
                </w:rPr>
                <w:t>Eduard Giovanny Sarmiento Hidalgo</w:t>
              </w:r>
            </w:hyperlink>
            <w:r w:rsidR="00042D4C" w:rsidRPr="00042D4C">
              <w:rPr>
                <w:b/>
                <w:bCs/>
              </w:rPr>
              <w:t xml:space="preserve"> </w:t>
            </w:r>
          </w:p>
          <w:p w14:paraId="56AB3567" w14:textId="77777777" w:rsidR="00042D4C" w:rsidRPr="00042D4C" w:rsidRDefault="00042D4C" w:rsidP="0087649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tc>
      </w:tr>
      <w:tr w:rsidR="00042D4C" w14:paraId="4A92CEB5" w14:textId="77777777" w:rsidTr="0087649C">
        <w:tc>
          <w:tcPr>
            <w:tcW w:w="4702" w:type="dxa"/>
          </w:tcPr>
          <w:p w14:paraId="2519F3A4" w14:textId="77777777" w:rsidR="00042D4C" w:rsidRPr="00042D4C" w:rsidRDefault="00042D4C" w:rsidP="0087649C">
            <w:pPr>
              <w:rPr>
                <w:rFonts w:ascii="Bookman Old Style" w:eastAsia="Bookman Old Style" w:hAnsi="Bookman Old Style" w:cs="Bookman Old Style"/>
                <w:b/>
                <w:bCs/>
              </w:rPr>
            </w:pPr>
          </w:p>
          <w:p w14:paraId="6FA4A74E" w14:textId="77777777" w:rsidR="00042D4C" w:rsidRPr="00042D4C" w:rsidRDefault="00042D4C" w:rsidP="0087649C">
            <w:pPr>
              <w:rPr>
                <w:rFonts w:ascii="Bookman Old Style" w:eastAsia="Bookman Old Style" w:hAnsi="Bookman Old Style" w:cs="Bookman Old Style"/>
                <w:b/>
                <w:bCs/>
              </w:rPr>
            </w:pPr>
          </w:p>
          <w:p w14:paraId="1AB340AE" w14:textId="77777777" w:rsidR="00042D4C" w:rsidRDefault="00042D4C" w:rsidP="0087649C">
            <w:pPr>
              <w:rPr>
                <w:rFonts w:ascii="Bookman Old Style" w:eastAsia="Bookman Old Style" w:hAnsi="Bookman Old Style" w:cs="Bookman Old Style"/>
                <w:b/>
                <w:bCs/>
              </w:rPr>
            </w:pPr>
          </w:p>
          <w:p w14:paraId="69C50D47" w14:textId="77777777" w:rsidR="00042D4C" w:rsidRPr="00042D4C" w:rsidRDefault="00042D4C" w:rsidP="0087649C">
            <w:pPr>
              <w:rPr>
                <w:rFonts w:ascii="Bookman Old Style" w:eastAsia="Bookman Old Style" w:hAnsi="Bookman Old Style" w:cs="Bookman Old Style"/>
                <w:b/>
                <w:bCs/>
              </w:rPr>
            </w:pPr>
          </w:p>
          <w:p w14:paraId="479B543B" w14:textId="77777777" w:rsidR="00042D4C" w:rsidRDefault="003C1753" w:rsidP="0087649C">
            <w:pPr>
              <w:rPr>
                <w:rFonts w:ascii="Bookman Old Style" w:eastAsia="Bookman Old Style" w:hAnsi="Bookman Old Style" w:cs="Bookman Old Style"/>
                <w:b/>
                <w:bCs/>
              </w:rPr>
            </w:pPr>
            <w:hyperlink r:id="rId73">
              <w:r w:rsidR="00042D4C" w:rsidRPr="00042D4C">
                <w:rPr>
                  <w:rFonts w:ascii="Bookman Old Style" w:eastAsia="Bookman Old Style" w:hAnsi="Bookman Old Style" w:cs="Bookman Old Style"/>
                  <w:b/>
                  <w:bCs/>
                </w:rPr>
                <w:t>Carlos Felipe Quintero Ovalle</w:t>
              </w:r>
            </w:hyperlink>
          </w:p>
          <w:p w14:paraId="2CFB2371" w14:textId="77777777" w:rsidR="00042D4C" w:rsidRPr="00042D4C" w:rsidRDefault="00042D4C" w:rsidP="0087649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p w14:paraId="398B6EE2" w14:textId="77777777" w:rsidR="00042D4C" w:rsidRPr="00042D4C" w:rsidRDefault="00042D4C" w:rsidP="0087649C">
            <w:pPr>
              <w:rPr>
                <w:rFonts w:ascii="Bookman Old Style" w:eastAsia="Bookman Old Style" w:hAnsi="Bookman Old Style" w:cs="Bookman Old Style"/>
                <w:b/>
                <w:bCs/>
              </w:rPr>
            </w:pPr>
          </w:p>
        </w:tc>
        <w:tc>
          <w:tcPr>
            <w:tcW w:w="4796" w:type="dxa"/>
          </w:tcPr>
          <w:p w14:paraId="35299CDC" w14:textId="77777777" w:rsidR="00042D4C" w:rsidRPr="00042D4C" w:rsidRDefault="00042D4C" w:rsidP="0087649C">
            <w:pPr>
              <w:rPr>
                <w:rFonts w:ascii="Bookman Old Style" w:eastAsia="Bookman Old Style" w:hAnsi="Bookman Old Style" w:cs="Bookman Old Style"/>
                <w:b/>
                <w:bCs/>
              </w:rPr>
            </w:pPr>
          </w:p>
          <w:p w14:paraId="187365B6" w14:textId="77777777" w:rsidR="00042D4C" w:rsidRPr="00042D4C" w:rsidRDefault="00042D4C" w:rsidP="0087649C">
            <w:pPr>
              <w:rPr>
                <w:rFonts w:ascii="Bookman Old Style" w:eastAsia="Bookman Old Style" w:hAnsi="Bookman Old Style" w:cs="Bookman Old Style"/>
                <w:b/>
                <w:bCs/>
              </w:rPr>
            </w:pPr>
          </w:p>
          <w:p w14:paraId="1E11BD07" w14:textId="77777777" w:rsidR="00042D4C" w:rsidRDefault="00042D4C" w:rsidP="0087649C">
            <w:pPr>
              <w:rPr>
                <w:rFonts w:ascii="Bookman Old Style" w:eastAsia="Bookman Old Style" w:hAnsi="Bookman Old Style" w:cs="Bookman Old Style"/>
                <w:b/>
                <w:bCs/>
              </w:rPr>
            </w:pPr>
          </w:p>
          <w:p w14:paraId="298D7B14" w14:textId="77777777" w:rsidR="00042D4C" w:rsidRPr="00042D4C" w:rsidRDefault="00042D4C" w:rsidP="0087649C">
            <w:pPr>
              <w:rPr>
                <w:rFonts w:ascii="Bookman Old Style" w:eastAsia="Bookman Old Style" w:hAnsi="Bookman Old Style" w:cs="Bookman Old Style"/>
                <w:b/>
                <w:bCs/>
              </w:rPr>
            </w:pPr>
          </w:p>
          <w:p w14:paraId="33B77752" w14:textId="77777777" w:rsidR="00042D4C" w:rsidRDefault="003C1753" w:rsidP="0087649C">
            <w:pPr>
              <w:rPr>
                <w:rFonts w:ascii="Bookman Old Style" w:eastAsia="Bookman Old Style" w:hAnsi="Bookman Old Style" w:cs="Bookman Old Style"/>
                <w:b/>
                <w:bCs/>
              </w:rPr>
            </w:pPr>
            <w:hyperlink r:id="rId74">
              <w:r w:rsidR="00042D4C" w:rsidRPr="00042D4C">
                <w:rPr>
                  <w:rFonts w:ascii="Bookman Old Style" w:eastAsia="Bookman Old Style" w:hAnsi="Bookman Old Style" w:cs="Bookman Old Style"/>
                  <w:b/>
                  <w:bCs/>
                </w:rPr>
                <w:t>Luis Eduardo Díaz Mateus</w:t>
              </w:r>
            </w:hyperlink>
            <w:r w:rsidR="00042D4C" w:rsidRPr="00042D4C">
              <w:rPr>
                <w:rFonts w:ascii="Bookman Old Style" w:eastAsia="Bookman Old Style" w:hAnsi="Bookman Old Style" w:cs="Bookman Old Style"/>
                <w:b/>
                <w:bCs/>
              </w:rPr>
              <w:t xml:space="preserve"> </w:t>
            </w:r>
          </w:p>
          <w:p w14:paraId="20696274" w14:textId="77777777" w:rsidR="00042D4C" w:rsidRPr="00042D4C" w:rsidRDefault="00042D4C" w:rsidP="0087649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p w14:paraId="05F2B192" w14:textId="77777777" w:rsidR="00042D4C" w:rsidRPr="00042D4C" w:rsidRDefault="00042D4C" w:rsidP="0087649C">
            <w:pPr>
              <w:rPr>
                <w:rFonts w:ascii="Bookman Old Style" w:eastAsia="Bookman Old Style" w:hAnsi="Bookman Old Style" w:cs="Bookman Old Style"/>
                <w:b/>
                <w:bCs/>
              </w:rPr>
            </w:pPr>
          </w:p>
        </w:tc>
      </w:tr>
      <w:tr w:rsidR="00042D4C" w14:paraId="5AF1B2DE" w14:textId="77777777" w:rsidTr="0087649C">
        <w:tc>
          <w:tcPr>
            <w:tcW w:w="4702" w:type="dxa"/>
          </w:tcPr>
          <w:p w14:paraId="7D10D715" w14:textId="77777777" w:rsidR="00042D4C" w:rsidRPr="00042D4C" w:rsidRDefault="00042D4C" w:rsidP="0087649C">
            <w:pPr>
              <w:rPr>
                <w:rFonts w:ascii="Bookman Old Style" w:eastAsia="Bookman Old Style" w:hAnsi="Bookman Old Style" w:cs="Bookman Old Style"/>
                <w:b/>
                <w:bCs/>
              </w:rPr>
            </w:pPr>
          </w:p>
          <w:p w14:paraId="0A183EF6" w14:textId="77777777" w:rsidR="00042D4C" w:rsidRPr="00042D4C" w:rsidRDefault="00042D4C" w:rsidP="0087649C">
            <w:pPr>
              <w:rPr>
                <w:rFonts w:ascii="Bookman Old Style" w:eastAsia="Bookman Old Style" w:hAnsi="Bookman Old Style" w:cs="Bookman Old Style"/>
                <w:b/>
                <w:bCs/>
              </w:rPr>
            </w:pPr>
          </w:p>
          <w:p w14:paraId="5F34206F" w14:textId="77777777" w:rsidR="00042D4C" w:rsidRPr="00042D4C" w:rsidRDefault="00042D4C" w:rsidP="0087649C">
            <w:pPr>
              <w:rPr>
                <w:rFonts w:ascii="Bookman Old Style" w:eastAsia="Bookman Old Style" w:hAnsi="Bookman Old Style" w:cs="Bookman Old Style"/>
                <w:b/>
                <w:bCs/>
              </w:rPr>
            </w:pPr>
          </w:p>
          <w:p w14:paraId="6DCD1D96" w14:textId="77777777" w:rsidR="00042D4C" w:rsidRDefault="003C1753" w:rsidP="0087649C">
            <w:pPr>
              <w:rPr>
                <w:b/>
                <w:bCs/>
              </w:rPr>
            </w:pPr>
            <w:hyperlink r:id="rId75">
              <w:proofErr w:type="spellStart"/>
              <w:r w:rsidR="00042D4C" w:rsidRPr="00042D4C">
                <w:rPr>
                  <w:rFonts w:ascii="Bookman Old Style" w:eastAsia="Bookman Old Style" w:hAnsi="Bookman Old Style" w:cs="Bookman Old Style"/>
                  <w:b/>
                  <w:bCs/>
                </w:rPr>
                <w:t>Duvalier</w:t>
              </w:r>
              <w:proofErr w:type="spellEnd"/>
              <w:r w:rsidR="00042D4C" w:rsidRPr="00042D4C">
                <w:rPr>
                  <w:rFonts w:ascii="Bookman Old Style" w:eastAsia="Bookman Old Style" w:hAnsi="Bookman Old Style" w:cs="Bookman Old Style"/>
                  <w:b/>
                  <w:bCs/>
                </w:rPr>
                <w:t xml:space="preserve"> Sánchez Arango</w:t>
              </w:r>
            </w:hyperlink>
            <w:r w:rsidR="00042D4C" w:rsidRPr="00042D4C">
              <w:rPr>
                <w:b/>
                <w:bCs/>
              </w:rPr>
              <w:t xml:space="preserve"> </w:t>
            </w:r>
          </w:p>
          <w:p w14:paraId="70F4E678" w14:textId="77777777" w:rsidR="00042D4C" w:rsidRPr="00042D4C" w:rsidRDefault="00042D4C" w:rsidP="0087649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tc>
        <w:tc>
          <w:tcPr>
            <w:tcW w:w="4796" w:type="dxa"/>
          </w:tcPr>
          <w:p w14:paraId="7E3A87D8" w14:textId="77777777" w:rsidR="00042D4C" w:rsidRDefault="00042D4C" w:rsidP="0087649C">
            <w:pPr>
              <w:rPr>
                <w:rFonts w:ascii="Bookman Old Style" w:eastAsia="Bookman Old Style" w:hAnsi="Bookman Old Style" w:cs="Bookman Old Style"/>
                <w:b/>
                <w:bCs/>
              </w:rPr>
            </w:pPr>
          </w:p>
          <w:p w14:paraId="267A6C38" w14:textId="77777777" w:rsidR="00042D4C" w:rsidRDefault="00042D4C" w:rsidP="0087649C">
            <w:pPr>
              <w:rPr>
                <w:rFonts w:ascii="Bookman Old Style" w:eastAsia="Bookman Old Style" w:hAnsi="Bookman Old Style" w:cs="Bookman Old Style"/>
                <w:b/>
                <w:bCs/>
              </w:rPr>
            </w:pPr>
          </w:p>
          <w:p w14:paraId="419678D6" w14:textId="77777777" w:rsidR="00042D4C" w:rsidRDefault="00042D4C" w:rsidP="0087649C">
            <w:pPr>
              <w:rPr>
                <w:rFonts w:ascii="Bookman Old Style" w:eastAsia="Bookman Old Style" w:hAnsi="Bookman Old Style" w:cs="Bookman Old Style"/>
                <w:b/>
                <w:bCs/>
              </w:rPr>
            </w:pPr>
          </w:p>
          <w:p w14:paraId="44A67113" w14:textId="77777777" w:rsidR="00042D4C" w:rsidRDefault="003C1753" w:rsidP="0087649C">
            <w:pPr>
              <w:rPr>
                <w:rFonts w:ascii="Bookman Old Style" w:eastAsia="Bookman Old Style" w:hAnsi="Bookman Old Style" w:cs="Bookman Old Style"/>
                <w:b/>
                <w:bCs/>
              </w:rPr>
            </w:pPr>
            <w:hyperlink r:id="rId76">
              <w:r w:rsidR="00042D4C" w:rsidRPr="00042D4C">
                <w:rPr>
                  <w:rFonts w:ascii="Bookman Old Style" w:eastAsia="Bookman Old Style" w:hAnsi="Bookman Old Style" w:cs="Bookman Old Style"/>
                  <w:b/>
                  <w:bCs/>
                </w:rPr>
                <w:t>Julio César Triana Quintero</w:t>
              </w:r>
            </w:hyperlink>
            <w:r w:rsidR="00042D4C" w:rsidRPr="00042D4C">
              <w:rPr>
                <w:b/>
                <w:bCs/>
              </w:rPr>
              <w:t xml:space="preserve"> </w:t>
            </w:r>
          </w:p>
          <w:p w14:paraId="404CBCBF" w14:textId="77777777" w:rsidR="00042D4C" w:rsidRPr="00042D4C" w:rsidRDefault="00042D4C" w:rsidP="0087649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tc>
      </w:tr>
      <w:tr w:rsidR="00042D4C" w14:paraId="59B92FF3" w14:textId="77777777" w:rsidTr="0087649C">
        <w:tc>
          <w:tcPr>
            <w:tcW w:w="4702" w:type="dxa"/>
          </w:tcPr>
          <w:p w14:paraId="0567D36E" w14:textId="77777777" w:rsidR="00042D4C" w:rsidRDefault="00042D4C" w:rsidP="0087649C">
            <w:pPr>
              <w:rPr>
                <w:rFonts w:ascii="Bookman Old Style" w:eastAsia="Bookman Old Style" w:hAnsi="Bookman Old Style" w:cs="Bookman Old Style"/>
                <w:b/>
              </w:rPr>
            </w:pPr>
          </w:p>
          <w:p w14:paraId="7B26E232" w14:textId="77777777" w:rsidR="00042D4C" w:rsidRDefault="00042D4C" w:rsidP="0087649C">
            <w:pPr>
              <w:rPr>
                <w:rFonts w:ascii="Bookman Old Style" w:eastAsia="Bookman Old Style" w:hAnsi="Bookman Old Style" w:cs="Bookman Old Style"/>
                <w:b/>
              </w:rPr>
            </w:pPr>
          </w:p>
          <w:p w14:paraId="1DC0A40F" w14:textId="77777777" w:rsidR="00042D4C" w:rsidRDefault="00042D4C" w:rsidP="0087649C">
            <w:pPr>
              <w:rPr>
                <w:rFonts w:ascii="Bookman Old Style" w:eastAsia="Bookman Old Style" w:hAnsi="Bookman Old Style" w:cs="Bookman Old Style"/>
                <w:b/>
              </w:rPr>
            </w:pPr>
          </w:p>
          <w:p w14:paraId="02628BB9" w14:textId="77777777" w:rsidR="00042D4C" w:rsidRDefault="00042D4C" w:rsidP="0087649C">
            <w:pPr>
              <w:rPr>
                <w:rFonts w:ascii="Bookman Old Style" w:eastAsia="Bookman Old Style" w:hAnsi="Bookman Old Style" w:cs="Bookman Old Style"/>
                <w:b/>
              </w:rPr>
            </w:pPr>
          </w:p>
          <w:p w14:paraId="1996FB7F" w14:textId="77777777" w:rsidR="00042D4C" w:rsidRDefault="003C1753" w:rsidP="0087649C">
            <w:pPr>
              <w:rPr>
                <w:b/>
                <w:bCs/>
              </w:rPr>
            </w:pPr>
            <w:hyperlink r:id="rId77">
              <w:r w:rsidR="00042D4C" w:rsidRPr="00042D4C">
                <w:rPr>
                  <w:rFonts w:ascii="Bookman Old Style" w:eastAsia="Bookman Old Style" w:hAnsi="Bookman Old Style" w:cs="Bookman Old Style"/>
                  <w:b/>
                  <w:bCs/>
                </w:rPr>
                <w:t xml:space="preserve">Miguel Abraham Polo </w:t>
              </w:r>
              <w:proofErr w:type="spellStart"/>
              <w:r w:rsidR="00042D4C" w:rsidRPr="00042D4C">
                <w:rPr>
                  <w:rFonts w:ascii="Bookman Old Style" w:eastAsia="Bookman Old Style" w:hAnsi="Bookman Old Style" w:cs="Bookman Old Style"/>
                  <w:b/>
                  <w:bCs/>
                </w:rPr>
                <w:t>Polo</w:t>
              </w:r>
              <w:proofErr w:type="spellEnd"/>
            </w:hyperlink>
            <w:r w:rsidR="00042D4C" w:rsidRPr="00042D4C">
              <w:rPr>
                <w:b/>
                <w:bCs/>
              </w:rPr>
              <w:t xml:space="preserve"> </w:t>
            </w:r>
          </w:p>
          <w:p w14:paraId="503AEEF6" w14:textId="77777777" w:rsidR="00042D4C" w:rsidRPr="00042D4C" w:rsidRDefault="00042D4C" w:rsidP="0087649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p w14:paraId="7FEE2A35" w14:textId="77777777" w:rsidR="00042D4C" w:rsidRDefault="00042D4C" w:rsidP="0087649C">
            <w:pPr>
              <w:rPr>
                <w:rFonts w:ascii="Bookman Old Style" w:eastAsia="Bookman Old Style" w:hAnsi="Bookman Old Style" w:cs="Bookman Old Style"/>
                <w:b/>
              </w:rPr>
            </w:pPr>
          </w:p>
        </w:tc>
        <w:tc>
          <w:tcPr>
            <w:tcW w:w="4796" w:type="dxa"/>
          </w:tcPr>
          <w:p w14:paraId="6ED62119" w14:textId="77777777" w:rsidR="00042D4C" w:rsidRDefault="00042D4C" w:rsidP="0087649C">
            <w:pPr>
              <w:rPr>
                <w:rFonts w:ascii="Bookman Old Style" w:eastAsia="Bookman Old Style" w:hAnsi="Bookman Old Style" w:cs="Bookman Old Style"/>
                <w:b/>
              </w:rPr>
            </w:pPr>
          </w:p>
          <w:p w14:paraId="27C0A103" w14:textId="77777777" w:rsidR="00042D4C" w:rsidRDefault="00042D4C" w:rsidP="0087649C">
            <w:pPr>
              <w:rPr>
                <w:rFonts w:ascii="Bookman Old Style" w:eastAsia="Bookman Old Style" w:hAnsi="Bookman Old Style" w:cs="Bookman Old Style"/>
                <w:b/>
              </w:rPr>
            </w:pPr>
          </w:p>
          <w:p w14:paraId="23EDBD58" w14:textId="77777777" w:rsidR="00042D4C" w:rsidRDefault="00042D4C" w:rsidP="0087649C">
            <w:pPr>
              <w:rPr>
                <w:rFonts w:ascii="Bookman Old Style" w:eastAsia="Bookman Old Style" w:hAnsi="Bookman Old Style" w:cs="Bookman Old Style"/>
                <w:b/>
              </w:rPr>
            </w:pPr>
          </w:p>
          <w:p w14:paraId="728596DB" w14:textId="77777777" w:rsidR="00042D4C" w:rsidRDefault="00042D4C" w:rsidP="0087649C">
            <w:pPr>
              <w:rPr>
                <w:rFonts w:ascii="Bookman Old Style" w:eastAsia="Bookman Old Style" w:hAnsi="Bookman Old Style" w:cs="Bookman Old Style"/>
                <w:b/>
              </w:rPr>
            </w:pPr>
          </w:p>
          <w:p w14:paraId="09F9511D" w14:textId="77777777" w:rsidR="00042D4C" w:rsidRDefault="003C1753" w:rsidP="0087649C">
            <w:pPr>
              <w:rPr>
                <w:b/>
                <w:bCs/>
              </w:rPr>
            </w:pPr>
            <w:hyperlink r:id="rId78">
              <w:r w:rsidR="00042D4C" w:rsidRPr="00042D4C">
                <w:rPr>
                  <w:rFonts w:ascii="Bookman Old Style" w:eastAsia="Bookman Old Style" w:hAnsi="Bookman Old Style" w:cs="Bookman Old Style"/>
                  <w:b/>
                  <w:bCs/>
                </w:rPr>
                <w:t xml:space="preserve">Karen </w:t>
              </w:r>
              <w:proofErr w:type="spellStart"/>
              <w:r w:rsidR="00042D4C" w:rsidRPr="00042D4C">
                <w:rPr>
                  <w:rFonts w:ascii="Bookman Old Style" w:eastAsia="Bookman Old Style" w:hAnsi="Bookman Old Style" w:cs="Bookman Old Style"/>
                  <w:b/>
                  <w:bCs/>
                </w:rPr>
                <w:t>Astrith</w:t>
              </w:r>
              <w:proofErr w:type="spellEnd"/>
              <w:r w:rsidR="00042D4C" w:rsidRPr="00042D4C">
                <w:rPr>
                  <w:rFonts w:ascii="Bookman Old Style" w:eastAsia="Bookman Old Style" w:hAnsi="Bookman Old Style" w:cs="Bookman Old Style"/>
                  <w:b/>
                  <w:bCs/>
                </w:rPr>
                <w:t xml:space="preserve"> Manrique Olarte</w:t>
              </w:r>
            </w:hyperlink>
            <w:r w:rsidR="00042D4C" w:rsidRPr="00042D4C">
              <w:rPr>
                <w:b/>
                <w:bCs/>
              </w:rPr>
              <w:t xml:space="preserve"> </w:t>
            </w:r>
          </w:p>
          <w:p w14:paraId="3CA97B42" w14:textId="77777777" w:rsidR="00042D4C" w:rsidRPr="00042D4C" w:rsidRDefault="00042D4C" w:rsidP="0087649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p w14:paraId="4CEA75E2" w14:textId="77777777" w:rsidR="00042D4C" w:rsidRDefault="00042D4C" w:rsidP="0087649C">
            <w:pPr>
              <w:rPr>
                <w:rFonts w:ascii="Bookman Old Style" w:eastAsia="Bookman Old Style" w:hAnsi="Bookman Old Style" w:cs="Bookman Old Style"/>
                <w:b/>
              </w:rPr>
            </w:pPr>
          </w:p>
        </w:tc>
      </w:tr>
      <w:tr w:rsidR="00042D4C" w14:paraId="03C21397" w14:textId="77777777" w:rsidTr="0087649C">
        <w:tc>
          <w:tcPr>
            <w:tcW w:w="4702" w:type="dxa"/>
          </w:tcPr>
          <w:p w14:paraId="307156BE" w14:textId="77777777" w:rsidR="00042D4C" w:rsidRDefault="00042D4C" w:rsidP="0087649C">
            <w:pPr>
              <w:rPr>
                <w:b/>
                <w:bCs/>
              </w:rPr>
            </w:pPr>
          </w:p>
          <w:p w14:paraId="07198C39" w14:textId="77777777" w:rsidR="00042D4C" w:rsidRDefault="00042D4C" w:rsidP="0087649C">
            <w:pPr>
              <w:rPr>
                <w:b/>
                <w:bCs/>
              </w:rPr>
            </w:pPr>
          </w:p>
          <w:p w14:paraId="7A2507F9" w14:textId="77777777" w:rsidR="00042D4C" w:rsidRDefault="00042D4C" w:rsidP="0087649C">
            <w:pPr>
              <w:rPr>
                <w:b/>
                <w:bCs/>
              </w:rPr>
            </w:pPr>
          </w:p>
          <w:p w14:paraId="79AFCE2B" w14:textId="77777777" w:rsidR="00042D4C" w:rsidRDefault="003C1753" w:rsidP="0087649C">
            <w:pPr>
              <w:rPr>
                <w:rFonts w:ascii="Bookman Old Style" w:eastAsia="Bookman Old Style" w:hAnsi="Bookman Old Style" w:cs="Bookman Old Style"/>
                <w:b/>
                <w:bCs/>
              </w:rPr>
            </w:pPr>
            <w:hyperlink r:id="rId79">
              <w:r w:rsidR="00042D4C" w:rsidRPr="00042D4C">
                <w:rPr>
                  <w:rFonts w:ascii="Bookman Old Style" w:eastAsia="Bookman Old Style" w:hAnsi="Bookman Old Style" w:cs="Bookman Old Style"/>
                  <w:b/>
                  <w:bCs/>
                </w:rPr>
                <w:t>Luis Alberto Albán Urbano</w:t>
              </w:r>
            </w:hyperlink>
            <w:r w:rsidR="00042D4C" w:rsidRPr="00042D4C">
              <w:rPr>
                <w:rFonts w:ascii="Bookman Old Style" w:eastAsia="Bookman Old Style" w:hAnsi="Bookman Old Style" w:cs="Bookman Old Style"/>
                <w:b/>
                <w:bCs/>
              </w:rPr>
              <w:t xml:space="preserve">  </w:t>
            </w:r>
          </w:p>
          <w:p w14:paraId="68854B6B" w14:textId="77777777" w:rsidR="00042D4C" w:rsidRPr="00042D4C" w:rsidRDefault="00042D4C" w:rsidP="0087649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p w14:paraId="5CAB3531" w14:textId="77777777" w:rsidR="00042D4C" w:rsidRDefault="00042D4C" w:rsidP="0087649C">
            <w:pPr>
              <w:rPr>
                <w:rFonts w:ascii="Bookman Old Style" w:eastAsia="Bookman Old Style" w:hAnsi="Bookman Old Style" w:cs="Bookman Old Style"/>
                <w:b/>
              </w:rPr>
            </w:pPr>
          </w:p>
        </w:tc>
        <w:tc>
          <w:tcPr>
            <w:tcW w:w="4796" w:type="dxa"/>
          </w:tcPr>
          <w:p w14:paraId="2F24732A" w14:textId="77777777" w:rsidR="00042D4C" w:rsidRDefault="00042D4C" w:rsidP="0087649C">
            <w:pPr>
              <w:rPr>
                <w:rFonts w:ascii="Bookman Old Style" w:eastAsia="Bookman Old Style" w:hAnsi="Bookman Old Style" w:cs="Bookman Old Style"/>
                <w:b/>
              </w:rPr>
            </w:pPr>
          </w:p>
          <w:p w14:paraId="2462EE59" w14:textId="77777777" w:rsidR="00042D4C" w:rsidRDefault="00042D4C" w:rsidP="0087649C">
            <w:pPr>
              <w:rPr>
                <w:rFonts w:ascii="Bookman Old Style" w:eastAsia="Bookman Old Style" w:hAnsi="Bookman Old Style" w:cs="Bookman Old Style"/>
                <w:b/>
              </w:rPr>
            </w:pPr>
          </w:p>
          <w:p w14:paraId="025E88E1" w14:textId="77777777" w:rsidR="00042D4C" w:rsidRDefault="00042D4C" w:rsidP="0087649C">
            <w:pPr>
              <w:rPr>
                <w:rFonts w:ascii="Bookman Old Style" w:eastAsia="Bookman Old Style" w:hAnsi="Bookman Old Style" w:cs="Bookman Old Style"/>
                <w:b/>
              </w:rPr>
            </w:pPr>
          </w:p>
          <w:p w14:paraId="7FB5CA38" w14:textId="77777777" w:rsidR="00042D4C" w:rsidRDefault="003C1753" w:rsidP="0087649C">
            <w:pPr>
              <w:rPr>
                <w:rFonts w:ascii="Bookman Old Style" w:eastAsia="Bookman Old Style" w:hAnsi="Bookman Old Style" w:cs="Bookman Old Style"/>
                <w:b/>
                <w:bCs/>
              </w:rPr>
            </w:pPr>
            <w:hyperlink r:id="rId80">
              <w:r w:rsidR="00042D4C" w:rsidRPr="00042D4C">
                <w:rPr>
                  <w:rFonts w:ascii="Bookman Old Style" w:eastAsia="Bookman Old Style" w:hAnsi="Bookman Old Style" w:cs="Bookman Old Style"/>
                  <w:b/>
                  <w:bCs/>
                </w:rPr>
                <w:t>Marelen Castillo Torres</w:t>
              </w:r>
            </w:hyperlink>
          </w:p>
          <w:p w14:paraId="7C1BC62C" w14:textId="77777777" w:rsidR="00042D4C" w:rsidRPr="00042D4C" w:rsidRDefault="00042D4C" w:rsidP="0087649C">
            <w:pPr>
              <w:ind w:right="60"/>
              <w:rPr>
                <w:rFonts w:ascii="Bookman Old Style" w:eastAsia="Bookman Old Style" w:hAnsi="Bookman Old Style" w:cs="Bookman Old Style"/>
                <w:b/>
                <w:bCs/>
              </w:rPr>
            </w:pPr>
            <w:r w:rsidRPr="00042D4C">
              <w:rPr>
                <w:rFonts w:ascii="Bookman Old Style" w:eastAsia="Bookman Old Style" w:hAnsi="Bookman Old Style" w:cs="Bookman Old Style"/>
                <w:b/>
                <w:bCs/>
              </w:rPr>
              <w:t>Representante a la Cámara</w:t>
            </w:r>
          </w:p>
          <w:p w14:paraId="508E7241" w14:textId="77777777" w:rsidR="00042D4C" w:rsidRDefault="00042D4C" w:rsidP="0087649C">
            <w:pPr>
              <w:rPr>
                <w:rFonts w:ascii="Bookman Old Style" w:eastAsia="Bookman Old Style" w:hAnsi="Bookman Old Style" w:cs="Bookman Old Style"/>
                <w:b/>
              </w:rPr>
            </w:pPr>
          </w:p>
        </w:tc>
      </w:tr>
    </w:tbl>
    <w:p w14:paraId="3012CFD2" w14:textId="2FDFE6D8" w:rsidR="00FD0412" w:rsidRDefault="00FD0412">
      <w:pPr>
        <w:jc w:val="both"/>
        <w:rPr>
          <w:rFonts w:ascii="Bookman Old Style" w:eastAsia="Bookman Old Style" w:hAnsi="Bookman Old Style" w:cs="Bookman Old Style"/>
          <w:color w:val="000000"/>
        </w:rPr>
      </w:pPr>
    </w:p>
    <w:sectPr w:rsidR="00FD0412">
      <w:headerReference w:type="default" r:id="rId81"/>
      <w:pgSz w:w="12240" w:h="15840"/>
      <w:pgMar w:top="1701" w:right="1418"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A686" w14:textId="77777777" w:rsidR="003C1753" w:rsidRDefault="003C1753">
      <w:r>
        <w:separator/>
      </w:r>
    </w:p>
  </w:endnote>
  <w:endnote w:type="continuationSeparator" w:id="0">
    <w:p w14:paraId="498969AD" w14:textId="77777777" w:rsidR="003C1753" w:rsidRDefault="003C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CAE16" w14:textId="77777777" w:rsidR="003C1753" w:rsidRDefault="003C1753">
      <w:r>
        <w:separator/>
      </w:r>
    </w:p>
  </w:footnote>
  <w:footnote w:type="continuationSeparator" w:id="0">
    <w:p w14:paraId="7B3A38BD" w14:textId="77777777" w:rsidR="003C1753" w:rsidRDefault="003C1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99E2" w14:textId="77777777" w:rsidR="00FD0412" w:rsidRDefault="00B868F8">
    <w:pPr>
      <w:pBdr>
        <w:top w:val="nil"/>
        <w:left w:val="nil"/>
        <w:bottom w:val="nil"/>
        <w:right w:val="nil"/>
        <w:between w:val="nil"/>
      </w:pBdr>
      <w:tabs>
        <w:tab w:val="center" w:pos="4419"/>
        <w:tab w:val="right" w:pos="8838"/>
      </w:tabs>
      <w:rPr>
        <w:color w:val="000000"/>
      </w:rPr>
    </w:pPr>
    <w:bookmarkStart w:id="11" w:name="_heading=h.44sinio" w:colFirst="0" w:colLast="0"/>
    <w:bookmarkEnd w:id="11"/>
    <w:r>
      <w:rPr>
        <w:noProof/>
        <w:color w:val="000000"/>
      </w:rPr>
      <w:drawing>
        <wp:inline distT="0" distB="0" distL="0" distR="0" wp14:anchorId="6ACCF801" wp14:editId="5453404A">
          <wp:extent cx="2440305" cy="925195"/>
          <wp:effectExtent l="0" t="0" r="0" b="0"/>
          <wp:docPr id="1528530966" name="image2.png" descr="CAMARA"/>
          <wp:cNvGraphicFramePr/>
          <a:graphic xmlns:a="http://schemas.openxmlformats.org/drawingml/2006/main">
            <a:graphicData uri="http://schemas.openxmlformats.org/drawingml/2006/picture">
              <pic:pic xmlns:pic="http://schemas.openxmlformats.org/drawingml/2006/picture">
                <pic:nvPicPr>
                  <pic:cNvPr id="0" name="image2.png" descr="CAMARA"/>
                  <pic:cNvPicPr preferRelativeResize="0"/>
                </pic:nvPicPr>
                <pic:blipFill>
                  <a:blip r:embed="rId1"/>
                  <a:srcRect/>
                  <a:stretch>
                    <a:fillRect/>
                  </a:stretch>
                </pic:blipFill>
                <pic:spPr>
                  <a:xfrm>
                    <a:off x="0" y="0"/>
                    <a:ext cx="2440305" cy="925195"/>
                  </a:xfrm>
                  <a:prstGeom prst="rect">
                    <a:avLst/>
                  </a:prstGeom>
                  <a:ln/>
                </pic:spPr>
              </pic:pic>
            </a:graphicData>
          </a:graphic>
        </wp:inline>
      </w:drawing>
    </w:r>
    <w:r>
      <w:rPr>
        <w:rFonts w:eastAsia="Calibri"/>
        <w:color w:val="000000"/>
        <w:sz w:val="22"/>
        <w:szCs w:val="22"/>
      </w:rPr>
      <w:tab/>
    </w:r>
    <w:r>
      <w:rPr>
        <w:rFonts w:eastAsia="Calibri"/>
        <w:color w:val="000000"/>
        <w:sz w:val="22"/>
        <w:szCs w:val="22"/>
      </w:rPr>
      <w:tab/>
    </w:r>
    <w:r>
      <w:rPr>
        <w:noProof/>
        <w:color w:val="000000"/>
      </w:rPr>
      <w:drawing>
        <wp:inline distT="0" distB="0" distL="0" distR="0" wp14:anchorId="18D62F87" wp14:editId="6BE9FCF2">
          <wp:extent cx="2002155" cy="838835"/>
          <wp:effectExtent l="0" t="0" r="0" b="0"/>
          <wp:docPr id="15285309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002155" cy="8388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4C11"/>
    <w:multiLevelType w:val="multilevel"/>
    <w:tmpl w:val="E0A25DD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3456F4"/>
    <w:multiLevelType w:val="multilevel"/>
    <w:tmpl w:val="18FA75E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642146C"/>
    <w:multiLevelType w:val="multilevel"/>
    <w:tmpl w:val="5F26D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1B39F1"/>
    <w:multiLevelType w:val="multilevel"/>
    <w:tmpl w:val="44FA98B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701C1FF6"/>
    <w:multiLevelType w:val="multilevel"/>
    <w:tmpl w:val="A70AA4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412"/>
    <w:rsid w:val="00042D4C"/>
    <w:rsid w:val="003C1753"/>
    <w:rsid w:val="00B868F8"/>
    <w:rsid w:val="00C3709D"/>
    <w:rsid w:val="00DC16D9"/>
    <w:rsid w:val="00F17A23"/>
    <w:rsid w:val="00FD04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B40B"/>
  <w15:docId w15:val="{BED6FF69-B66F-4510-9623-41711522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761"/>
    <w:rPr>
      <w:rFonts w:eastAsiaTheme="minorEastAsia"/>
      <w:lang w:eastAsia="zh-CN"/>
    </w:rPr>
  </w:style>
  <w:style w:type="paragraph" w:styleId="Ttulo1">
    <w:name w:val="heading 1"/>
    <w:basedOn w:val="Normal"/>
    <w:next w:val="Normal"/>
    <w:link w:val="Ttulo1Car"/>
    <w:uiPriority w:val="9"/>
    <w:qFormat/>
    <w:rsid w:val="007F3E73"/>
    <w:pPr>
      <w:outlineLvl w:val="0"/>
    </w:pPr>
    <w:rPr>
      <w:rFonts w:ascii="Georgia" w:eastAsiaTheme="majorEastAsia" w:hAnsi="Georgia" w:cstheme="majorBidi"/>
      <w:b/>
      <w:bCs/>
      <w:color w:val="2F5496" w:themeColor="accent1" w:themeShade="BF"/>
    </w:rPr>
  </w:style>
  <w:style w:type="paragraph" w:styleId="Ttulo2">
    <w:name w:val="heading 2"/>
    <w:basedOn w:val="Normal"/>
    <w:next w:val="Normal"/>
    <w:link w:val="Ttulo2Car"/>
    <w:uiPriority w:val="9"/>
    <w:semiHidden/>
    <w:unhideWhenUsed/>
    <w:qFormat/>
    <w:rsid w:val="00F6318E"/>
    <w:pPr>
      <w:outlineLvl w:val="1"/>
    </w:pPr>
    <w:rPr>
      <w:rFonts w:ascii="Georgia" w:eastAsiaTheme="majorEastAsia" w:hAnsi="Georgia" w:cstheme="majorBidi"/>
      <w:b/>
      <w:bCs/>
      <w:color w:val="2F5496" w:themeColor="accent1" w:themeShade="BF"/>
    </w:rPr>
  </w:style>
  <w:style w:type="paragraph" w:styleId="Ttulo3">
    <w:name w:val="heading 3"/>
    <w:basedOn w:val="Ttulo2"/>
    <w:next w:val="Normal"/>
    <w:link w:val="Ttulo3Car"/>
    <w:uiPriority w:val="9"/>
    <w:semiHidden/>
    <w:unhideWhenUsed/>
    <w:qFormat/>
    <w:rsid w:val="00F6318E"/>
    <w:pPr>
      <w:outlineLvl w:val="2"/>
    </w:pPr>
    <w:rPr>
      <w:rFonts w:eastAsia="Arial"/>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30B15"/>
    <w:pPr>
      <w:tabs>
        <w:tab w:val="center" w:pos="4419"/>
        <w:tab w:val="right" w:pos="8838"/>
      </w:tabs>
    </w:pPr>
  </w:style>
  <w:style w:type="character" w:customStyle="1" w:styleId="EncabezadoCar">
    <w:name w:val="Encabezado Car"/>
    <w:basedOn w:val="Fuentedeprrafopredeter"/>
    <w:link w:val="Encabezado"/>
    <w:uiPriority w:val="99"/>
    <w:rsid w:val="00030B15"/>
  </w:style>
  <w:style w:type="paragraph" w:styleId="Piedepgina">
    <w:name w:val="footer"/>
    <w:basedOn w:val="Normal"/>
    <w:link w:val="PiedepginaCar"/>
    <w:uiPriority w:val="99"/>
    <w:unhideWhenUsed/>
    <w:rsid w:val="00030B15"/>
    <w:pPr>
      <w:tabs>
        <w:tab w:val="center" w:pos="4419"/>
        <w:tab w:val="right" w:pos="8838"/>
      </w:tabs>
    </w:pPr>
  </w:style>
  <w:style w:type="character" w:customStyle="1" w:styleId="PiedepginaCar">
    <w:name w:val="Pie de página Car"/>
    <w:basedOn w:val="Fuentedeprrafopredeter"/>
    <w:link w:val="Piedepgina"/>
    <w:uiPriority w:val="99"/>
    <w:rsid w:val="00030B15"/>
  </w:style>
  <w:style w:type="paragraph" w:styleId="Prrafodelista">
    <w:name w:val="List Paragraph"/>
    <w:aliases w:val="Ha,Segundo nivel de viñetas,List Paragraph1,Normal. Viñetas,titulo 3,Título de Diagrama,Bolita,Párrafo de lista21,Párrafo de lista4,Párrafo de lista5,VIÑETA,Lista vistosa - Énfasis 11,List Paragraph,BOLA,BOLADEF,Segundo nivel de vi–etas"/>
    <w:basedOn w:val="Normal"/>
    <w:link w:val="PrrafodelistaCar"/>
    <w:uiPriority w:val="34"/>
    <w:qFormat/>
    <w:rsid w:val="00363DC4"/>
    <w:pPr>
      <w:ind w:left="720"/>
      <w:contextualSpacing/>
    </w:pPr>
  </w:style>
  <w:style w:type="paragraph" w:styleId="Textonotapie">
    <w:name w:val="footnote text"/>
    <w:aliases w:val="ft,texto de nota al pie,Nota a pie/Bibliog,Texto nota pie Car Car,Car1 Car Car,Car1 Car2,ft Car Car,ft Car,Texto nota pie Car11,Texto nota pie Car Car1,Car1 Car Car1,Car1 Car21,Car11 Car Car,Car11 Car,Car1, Car1 Car Car, Car1 Car2, Car1,f"/>
    <w:basedOn w:val="Normal"/>
    <w:link w:val="TextonotapieCar"/>
    <w:uiPriority w:val="99"/>
    <w:unhideWhenUsed/>
    <w:qFormat/>
    <w:rsid w:val="00363DC4"/>
    <w:rPr>
      <w:sz w:val="20"/>
      <w:szCs w:val="20"/>
    </w:rPr>
  </w:style>
  <w:style w:type="character" w:customStyle="1" w:styleId="TextonotapieCar">
    <w:name w:val="Texto nota pie Car"/>
    <w:aliases w:val="ft Car1,texto de nota al pie Car,Nota a pie/Bibliog Car,Texto nota pie Car Car Car,Car1 Car Car Car,Car1 Car2 Car,ft Car Car Car,ft Car Car1,Texto nota pie Car11 Car,Texto nota pie Car Car1 Car,Car1 Car Car1 Car,Car1 Car21 Car,f Car"/>
    <w:basedOn w:val="Fuentedeprrafopredeter"/>
    <w:link w:val="Textonotapie"/>
    <w:uiPriority w:val="99"/>
    <w:rsid w:val="00363DC4"/>
    <w:rPr>
      <w:rFonts w:eastAsiaTheme="minorEastAsia"/>
      <w:kern w:val="0"/>
      <w:sz w:val="20"/>
      <w:szCs w:val="20"/>
      <w:lang w:eastAsia="zh-CN"/>
    </w:rPr>
  </w:style>
  <w:style w:type="character" w:styleId="Refdenotaalpie">
    <w:name w:val="footnote reference"/>
    <w:aliases w:val="referencia nota al pie,Pie de pagina,Ref. de nota al pie2,Ref,de nota al pie,Nota de pie,Texto de nota al pie,pie de pagina,fr,Used by Word for Help footnote symbols,Footnote symbol,Footnote,BVI fnr,Referencia nota al pie,BVI fnr Car"/>
    <w:basedOn w:val="Fuentedeprrafopredeter"/>
    <w:uiPriority w:val="99"/>
    <w:unhideWhenUsed/>
    <w:qFormat/>
    <w:rsid w:val="00363DC4"/>
    <w:rPr>
      <w:vertAlign w:val="superscript"/>
    </w:rPr>
  </w:style>
  <w:style w:type="paragraph" w:styleId="Revisin">
    <w:name w:val="Revision"/>
    <w:hidden/>
    <w:uiPriority w:val="99"/>
    <w:semiHidden/>
    <w:rsid w:val="00447831"/>
    <w:rPr>
      <w:rFonts w:eastAsiaTheme="minorEastAsia"/>
      <w:lang w:eastAsia="zh-CN"/>
    </w:rPr>
  </w:style>
  <w:style w:type="character" w:customStyle="1" w:styleId="Ttulo1Car">
    <w:name w:val="Título 1 Car"/>
    <w:basedOn w:val="Fuentedeprrafopredeter"/>
    <w:link w:val="Ttulo1"/>
    <w:uiPriority w:val="9"/>
    <w:rsid w:val="007F3E73"/>
    <w:rPr>
      <w:rFonts w:ascii="Georgia" w:eastAsiaTheme="majorEastAsia" w:hAnsi="Georgia" w:cstheme="majorBidi"/>
      <w:b/>
      <w:bCs/>
      <w:color w:val="2F5496" w:themeColor="accent1" w:themeShade="BF"/>
      <w:kern w:val="0"/>
      <w:sz w:val="24"/>
      <w:szCs w:val="24"/>
      <w:lang w:val="es-ES" w:eastAsia="zh-CN"/>
    </w:rPr>
  </w:style>
  <w:style w:type="paragraph" w:styleId="TtuloTDC">
    <w:name w:val="TOC Heading"/>
    <w:basedOn w:val="Ttulo1"/>
    <w:next w:val="Normal"/>
    <w:uiPriority w:val="39"/>
    <w:unhideWhenUsed/>
    <w:qFormat/>
    <w:rsid w:val="00F14A56"/>
    <w:pPr>
      <w:spacing w:line="259" w:lineRule="auto"/>
      <w:outlineLvl w:val="9"/>
    </w:pPr>
    <w:rPr>
      <w:lang w:eastAsia="es-CO"/>
    </w:rPr>
  </w:style>
  <w:style w:type="paragraph" w:styleId="TDC1">
    <w:name w:val="toc 1"/>
    <w:basedOn w:val="Normal"/>
    <w:next w:val="Normal"/>
    <w:autoRedefine/>
    <w:uiPriority w:val="39"/>
    <w:unhideWhenUsed/>
    <w:rsid w:val="001162B8"/>
    <w:pPr>
      <w:tabs>
        <w:tab w:val="right" w:leader="dot" w:pos="8828"/>
      </w:tabs>
      <w:spacing w:after="100"/>
    </w:pPr>
  </w:style>
  <w:style w:type="character" w:styleId="Hipervnculo">
    <w:name w:val="Hyperlink"/>
    <w:basedOn w:val="Fuentedeprrafopredeter"/>
    <w:uiPriority w:val="99"/>
    <w:unhideWhenUsed/>
    <w:rsid w:val="00F14A56"/>
    <w:rPr>
      <w:color w:val="0563C1" w:themeColor="hyperlink"/>
      <w:u w:val="single"/>
    </w:rPr>
  </w:style>
  <w:style w:type="table" w:styleId="Tablaconcuadrcula">
    <w:name w:val="Table Grid"/>
    <w:basedOn w:val="Tablanormal"/>
    <w:uiPriority w:val="39"/>
    <w:rsid w:val="00E46F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clara">
    <w:name w:val="Grid Table Light"/>
    <w:basedOn w:val="Tablanormal"/>
    <w:uiPriority w:val="40"/>
    <w:rsid w:val="00E46F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2Car">
    <w:name w:val="Título 2 Car"/>
    <w:basedOn w:val="Fuentedeprrafopredeter"/>
    <w:link w:val="Ttulo2"/>
    <w:uiPriority w:val="9"/>
    <w:rsid w:val="00F6318E"/>
    <w:rPr>
      <w:rFonts w:ascii="Georgia" w:eastAsiaTheme="majorEastAsia" w:hAnsi="Georgia" w:cstheme="majorBidi"/>
      <w:b/>
      <w:bCs/>
      <w:color w:val="2F5496" w:themeColor="accent1" w:themeShade="BF"/>
      <w:kern w:val="0"/>
      <w:sz w:val="24"/>
      <w:szCs w:val="24"/>
      <w:lang w:val="es-ES" w:eastAsia="zh-CN"/>
    </w:rPr>
  </w:style>
  <w:style w:type="character" w:customStyle="1" w:styleId="Ttulo3Car">
    <w:name w:val="Título 3 Car"/>
    <w:basedOn w:val="Fuentedeprrafopredeter"/>
    <w:link w:val="Ttulo3"/>
    <w:uiPriority w:val="9"/>
    <w:rsid w:val="00F6318E"/>
    <w:rPr>
      <w:rFonts w:ascii="Georgia" w:eastAsia="Arial" w:hAnsi="Georgia" w:cstheme="majorBidi"/>
      <w:b/>
      <w:bCs/>
      <w:color w:val="2F5496" w:themeColor="accent1" w:themeShade="BF"/>
      <w:kern w:val="0"/>
      <w:sz w:val="24"/>
      <w:szCs w:val="24"/>
      <w:lang w:val="es-ES" w:eastAsia="zh-CN"/>
    </w:rPr>
  </w:style>
  <w:style w:type="paragraph" w:styleId="Descripcin">
    <w:name w:val="caption"/>
    <w:basedOn w:val="Normal"/>
    <w:next w:val="Normal"/>
    <w:uiPriority w:val="35"/>
    <w:unhideWhenUsed/>
    <w:qFormat/>
    <w:rsid w:val="00BF3C40"/>
    <w:pPr>
      <w:spacing w:after="200"/>
    </w:pPr>
    <w:rPr>
      <w:rFonts w:eastAsiaTheme="minorHAnsi"/>
      <w:i/>
      <w:iCs/>
      <w:color w:val="44546A" w:themeColor="text2"/>
      <w:kern w:val="2"/>
      <w:sz w:val="18"/>
      <w:szCs w:val="18"/>
      <w:lang w:eastAsia="en-US"/>
    </w:rPr>
  </w:style>
  <w:style w:type="character" w:customStyle="1" w:styleId="PrrafodelistaCar">
    <w:name w:val="Párrafo de lista Car"/>
    <w:aliases w:val="Ha Car,Segundo nivel de viñetas Car,List Paragraph1 Car,Normal. Viñetas Car,titulo 3 Car,Título de Diagrama Car,Bolita Car,Párrafo de lista21 Car,Párrafo de lista4 Car,Párrafo de lista5 Car,VIÑETA Car,Lista vistosa - Énfasis 11 Car"/>
    <w:link w:val="Prrafodelista"/>
    <w:uiPriority w:val="34"/>
    <w:qFormat/>
    <w:rsid w:val="00377FAA"/>
    <w:rPr>
      <w:rFonts w:eastAsiaTheme="minorEastAsia"/>
      <w:kern w:val="0"/>
      <w:sz w:val="24"/>
      <w:szCs w:val="24"/>
      <w:lang w:eastAsia="zh-CN"/>
    </w:rPr>
  </w:style>
  <w:style w:type="paragraph" w:customStyle="1" w:styleId="paragraph">
    <w:name w:val="paragraph"/>
    <w:basedOn w:val="Normal"/>
    <w:rsid w:val="00377FAA"/>
    <w:pPr>
      <w:spacing w:before="100" w:beforeAutospacing="1" w:after="100" w:afterAutospacing="1"/>
    </w:pPr>
    <w:rPr>
      <w:rFonts w:ascii="Times New Roman" w:eastAsia="Times New Roman" w:hAnsi="Times New Roman" w:cs="Times New Roman"/>
      <w:lang w:eastAsia="es-CO"/>
    </w:rPr>
  </w:style>
  <w:style w:type="paragraph" w:styleId="TDC2">
    <w:name w:val="toc 2"/>
    <w:basedOn w:val="Normal"/>
    <w:next w:val="Normal"/>
    <w:autoRedefine/>
    <w:uiPriority w:val="39"/>
    <w:unhideWhenUsed/>
    <w:rsid w:val="006B3A30"/>
    <w:pPr>
      <w:spacing w:after="100"/>
      <w:ind w:left="240"/>
    </w:pPr>
  </w:style>
  <w:style w:type="paragraph" w:styleId="TDC3">
    <w:name w:val="toc 3"/>
    <w:basedOn w:val="Normal"/>
    <w:next w:val="Normal"/>
    <w:autoRedefine/>
    <w:uiPriority w:val="39"/>
    <w:unhideWhenUsed/>
    <w:rsid w:val="006B3A30"/>
    <w:pPr>
      <w:spacing w:after="100"/>
      <w:ind w:left="480"/>
    </w:pPr>
  </w:style>
  <w:style w:type="paragraph" w:customStyle="1" w:styleId="Default">
    <w:name w:val="Default"/>
    <w:rsid w:val="00E67AA0"/>
    <w:pPr>
      <w:autoSpaceDE w:val="0"/>
      <w:autoSpaceDN w:val="0"/>
      <w:adjustRightInd w:val="0"/>
    </w:pPr>
    <w:rPr>
      <w:rFonts w:ascii="Arial" w:eastAsia="Times New Roman" w:hAnsi="Arial" w:cs="Arial"/>
      <w:color w:val="000000"/>
    </w:rPr>
  </w:style>
  <w:style w:type="character" w:styleId="Refdecomentario">
    <w:name w:val="annotation reference"/>
    <w:basedOn w:val="Fuentedeprrafopredeter"/>
    <w:uiPriority w:val="99"/>
    <w:semiHidden/>
    <w:unhideWhenUsed/>
    <w:rsid w:val="006F190C"/>
    <w:rPr>
      <w:sz w:val="16"/>
      <w:szCs w:val="16"/>
    </w:rPr>
  </w:style>
  <w:style w:type="paragraph" w:styleId="Textocomentario">
    <w:name w:val="annotation text"/>
    <w:basedOn w:val="Normal"/>
    <w:link w:val="TextocomentarioCar"/>
    <w:uiPriority w:val="99"/>
    <w:semiHidden/>
    <w:unhideWhenUsed/>
    <w:rsid w:val="006F190C"/>
    <w:rPr>
      <w:sz w:val="20"/>
      <w:szCs w:val="20"/>
    </w:rPr>
  </w:style>
  <w:style w:type="character" w:customStyle="1" w:styleId="TextocomentarioCar">
    <w:name w:val="Texto comentario Car"/>
    <w:basedOn w:val="Fuentedeprrafopredeter"/>
    <w:link w:val="Textocomentario"/>
    <w:uiPriority w:val="99"/>
    <w:semiHidden/>
    <w:rsid w:val="006F190C"/>
    <w:rPr>
      <w:rFonts w:eastAsiaTheme="minorEastAsia"/>
      <w:kern w:val="0"/>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6F190C"/>
    <w:rPr>
      <w:b/>
      <w:bCs/>
    </w:rPr>
  </w:style>
  <w:style w:type="character" w:customStyle="1" w:styleId="AsuntodelcomentarioCar">
    <w:name w:val="Asunto del comentario Car"/>
    <w:basedOn w:val="TextocomentarioCar"/>
    <w:link w:val="Asuntodelcomentario"/>
    <w:uiPriority w:val="99"/>
    <w:semiHidden/>
    <w:rsid w:val="006F190C"/>
    <w:rPr>
      <w:rFonts w:eastAsiaTheme="minorEastAsia"/>
      <w:b/>
      <w:bCs/>
      <w:kern w:val="0"/>
      <w:sz w:val="20"/>
      <w:szCs w:val="20"/>
      <w:lang w:eastAsia="zh-C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042D4C"/>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320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julian-david-lopez-tenorio" TargetMode="External"/><Relationship Id="rId21" Type="http://schemas.openxmlformats.org/officeDocument/2006/relationships/hyperlink" Target="https://www.camara.gov.co/representantes/pedro-jose-suarez-vacca" TargetMode="External"/><Relationship Id="rId42" Type="http://schemas.openxmlformats.org/officeDocument/2006/relationships/hyperlink" Target="https://www.camara.gov.co/representantes/daniel-carvalho-mejia" TargetMode="External"/><Relationship Id="rId47" Type="http://schemas.openxmlformats.org/officeDocument/2006/relationships/hyperlink" Target="https://www.camara.gov.co/representantes/james-hermenegildo-mosquera-torres" TargetMode="External"/><Relationship Id="rId63" Type="http://schemas.openxmlformats.org/officeDocument/2006/relationships/hyperlink" Target="https://www.camara.gov.co/representantes/eduard-giovanny-sarmiento-hidalgo" TargetMode="External"/><Relationship Id="rId68" Type="http://schemas.openxmlformats.org/officeDocument/2006/relationships/hyperlink" Target="https://www.camara.gov.co/representantes/miguel-abraham-polo-polo" TargetMode="External"/><Relationship Id="rId16" Type="http://schemas.openxmlformats.org/officeDocument/2006/relationships/hyperlink" Target="https://www.camara.gov.co/representantes/marelen-castillo-torres" TargetMode="External"/><Relationship Id="rId11" Type="http://schemas.openxmlformats.org/officeDocument/2006/relationships/hyperlink" Target="https://www.camara.gov.co/representantes/duvalier-sanchez-arango" TargetMode="External"/><Relationship Id="rId32" Type="http://schemas.openxmlformats.org/officeDocument/2006/relationships/hyperlink" Target="https://www.camara.gov.co/representantes/carmen-felisa-ramirez-boscan" TargetMode="External"/><Relationship Id="rId37" Type="http://schemas.openxmlformats.org/officeDocument/2006/relationships/hyperlink" Target="https://www.camara.gov.co/representantes/luis-alberto-alban-urbano" TargetMode="External"/><Relationship Id="rId53" Type="http://schemas.openxmlformats.org/officeDocument/2006/relationships/hyperlink" Target="https://www.camara.gov.co/representantes/jorge-eliecer-tamayo-marulanda" TargetMode="External"/><Relationship Id="rId58" Type="http://schemas.openxmlformats.org/officeDocument/2006/relationships/hyperlink" Target="https://www.camara.gov.co/representantes/julio-cesar-triana-quintero" TargetMode="External"/><Relationship Id="rId74" Type="http://schemas.openxmlformats.org/officeDocument/2006/relationships/hyperlink" Target="https://www.camara.gov.co/representantes/luis-eduardo-diaz-mateus" TargetMode="External"/><Relationship Id="rId79" Type="http://schemas.openxmlformats.org/officeDocument/2006/relationships/hyperlink" Target="https://www.camara.gov.co/representantes/luis-alberto-alban-urbano" TargetMode="External"/><Relationship Id="rId5" Type="http://schemas.openxmlformats.org/officeDocument/2006/relationships/webSettings" Target="webSettings.xml"/><Relationship Id="rId61" Type="http://schemas.openxmlformats.org/officeDocument/2006/relationships/hyperlink" Target="https://www.camara.gov.co/representantes/luis-alberto-alban-urbano" TargetMode="External"/><Relationship Id="rId82" Type="http://schemas.openxmlformats.org/officeDocument/2006/relationships/fontTable" Target="fontTable.xml"/><Relationship Id="rId19" Type="http://schemas.openxmlformats.org/officeDocument/2006/relationships/hyperlink" Target="https://www.camara.gov.co/representantes/dorina-hernandez-palomino" TargetMode="External"/><Relationship Id="rId14" Type="http://schemas.openxmlformats.org/officeDocument/2006/relationships/hyperlink" Target="https://www.camara.gov.co/representantes/karen-astrith-manrique-olarte" TargetMode="External"/><Relationship Id="rId22" Type="http://schemas.openxmlformats.org/officeDocument/2006/relationships/hyperlink" Target="https://www.camara.gov.co/representantes/norman-david-banol-alvarez" TargetMode="External"/><Relationship Id="rId27" Type="http://schemas.openxmlformats.org/officeDocument/2006/relationships/hyperlink" Target="https://www.camara.gov.co/representantes/alfredo-mondragon-garzon" TargetMode="External"/><Relationship Id="rId30" Type="http://schemas.openxmlformats.org/officeDocument/2006/relationships/hyperlink" Target="https://www.camara.gov.co/representantes/jose-eliecer-salazar-lopez" TargetMode="External"/><Relationship Id="rId35" Type="http://schemas.openxmlformats.org/officeDocument/2006/relationships/hyperlink" Target="https://www.camara.gov.co/representantes/cristobal-caicedo-angulo" TargetMode="External"/><Relationship Id="rId43" Type="http://schemas.openxmlformats.org/officeDocument/2006/relationships/hyperlink" Target="https://www.camara.gov.co/representantes/gabriel-ernesto-parrado-duran" TargetMode="External"/><Relationship Id="rId48" Type="http://schemas.openxmlformats.org/officeDocument/2006/relationships/hyperlink" Target="https://www.camara.gov.co/representantes/erika-tatiana-sanchez-pinto" TargetMode="External"/><Relationship Id="rId56" Type="http://schemas.openxmlformats.org/officeDocument/2006/relationships/hyperlink" Target="https://www.camara.gov.co/representantes/luis-eduardo-diaz-mateus" TargetMode="External"/><Relationship Id="rId64" Type="http://schemas.openxmlformats.org/officeDocument/2006/relationships/hyperlink" Target="https://www.camara.gov.co/representantes/carlos-felipe-quintero-ovalle" TargetMode="External"/><Relationship Id="rId69" Type="http://schemas.openxmlformats.org/officeDocument/2006/relationships/hyperlink" Target="https://www.camara.gov.co/representantes/karen-astrith-manrique-olarte" TargetMode="External"/><Relationship Id="rId77" Type="http://schemas.openxmlformats.org/officeDocument/2006/relationships/hyperlink" Target="https://www.camara.gov.co/representantes/miguel-abraham-polo-polo" TargetMode="External"/><Relationship Id="rId8" Type="http://schemas.openxmlformats.org/officeDocument/2006/relationships/hyperlink" Target="https://www.camara.gov.co/representantes/eduard-giovanny-sarmiento-hidalgo" TargetMode="External"/><Relationship Id="rId51" Type="http://schemas.openxmlformats.org/officeDocument/2006/relationships/hyperlink" Target="https://www.camara.gov.co/representantes/jorge-andres-cancimance-lopez" TargetMode="External"/><Relationship Id="rId72" Type="http://schemas.openxmlformats.org/officeDocument/2006/relationships/hyperlink" Target="https://www.camara.gov.co/representantes/eduard-giovanny-sarmiento-hidalgo" TargetMode="External"/><Relationship Id="rId80" Type="http://schemas.openxmlformats.org/officeDocument/2006/relationships/hyperlink" Target="https://www.camara.gov.co/representantes/marelen-castillo-torres" TargetMode="External"/><Relationship Id="rId3" Type="http://schemas.openxmlformats.org/officeDocument/2006/relationships/styles" Target="styles.xml"/><Relationship Id="rId12" Type="http://schemas.openxmlformats.org/officeDocument/2006/relationships/hyperlink" Target="https://www.camara.gov.co/representantes/julio-cesar-triana-quintero" TargetMode="External"/><Relationship Id="rId17" Type="http://schemas.openxmlformats.org/officeDocument/2006/relationships/hyperlink" Target="https://www.camara.gov.co/representantes/susana-gomez-castano" TargetMode="External"/><Relationship Id="rId25" Type="http://schemas.openxmlformats.org/officeDocument/2006/relationships/hyperlink" Target="https://www.camara.gov.co/representantes/jorge-eliecer-tamayo-marulanda" TargetMode="External"/><Relationship Id="rId33" Type="http://schemas.openxmlformats.org/officeDocument/2006/relationships/hyperlink" Target="https://www.camara.gov.co/representantes/etna-tamara-argote-calderon" TargetMode="External"/><Relationship Id="rId38" Type="http://schemas.openxmlformats.org/officeDocument/2006/relationships/hyperlink" Target="https://www.camara.gov.co/representantes/pedro-baracutao-garcia-ospina" TargetMode="External"/><Relationship Id="rId46" Type="http://schemas.openxmlformats.org/officeDocument/2006/relationships/hyperlink" Target="https://www.camara.gov.co/representantes/juan-manuel-cortes-duenas" TargetMode="External"/><Relationship Id="rId59" Type="http://schemas.openxmlformats.org/officeDocument/2006/relationships/hyperlink" Target="https://www.camara.gov.co/representantes/miguel-abraham-polo-polo" TargetMode="External"/><Relationship Id="rId67" Type="http://schemas.openxmlformats.org/officeDocument/2006/relationships/hyperlink" Target="https://www.camara.gov.co/representantes/julio-cesar-triana-quintero" TargetMode="External"/><Relationship Id="rId20" Type="http://schemas.openxmlformats.org/officeDocument/2006/relationships/hyperlink" Target="https://www.camara.gov.co/representantes/dolcey-oscar-torres-romero" TargetMode="External"/><Relationship Id="rId41" Type="http://schemas.openxmlformats.org/officeDocument/2006/relationships/hyperlink" Target="https://www.camara.gov.co/representantes/jennifer-dalley-pedraza-sandoval" TargetMode="External"/><Relationship Id="rId54" Type="http://schemas.openxmlformats.org/officeDocument/2006/relationships/hyperlink" Target="https://www.camara.gov.co/representantes/eduard-giovanny-sarmiento-hidalgo" TargetMode="External"/><Relationship Id="rId62" Type="http://schemas.openxmlformats.org/officeDocument/2006/relationships/hyperlink" Target="https://www.camara.gov.co/representantes/marelen-castillo-torres" TargetMode="External"/><Relationship Id="rId70" Type="http://schemas.openxmlformats.org/officeDocument/2006/relationships/hyperlink" Target="https://www.camara.gov.co/representantes/luis-alberto-alban-urbano" TargetMode="External"/><Relationship Id="rId75" Type="http://schemas.openxmlformats.org/officeDocument/2006/relationships/hyperlink" Target="https://www.camara.gov.co/representantes/duvalier-sanchez-arango"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luis-alberto-alban-urbano" TargetMode="External"/><Relationship Id="rId23" Type="http://schemas.openxmlformats.org/officeDocument/2006/relationships/hyperlink" Target="https://www.camara.gov.co/representantes/olga-beatriz-gonzalez-correa" TargetMode="External"/><Relationship Id="rId28" Type="http://schemas.openxmlformats.org/officeDocument/2006/relationships/hyperlink" Target="https://www.camara.gov.co/representantes/heraclito-landinez-suarez" TargetMode="External"/><Relationship Id="rId36" Type="http://schemas.openxmlformats.org/officeDocument/2006/relationships/hyperlink" Target="https://www.camara.gov.co/representantes/martha-lisbeth-alfonso-jurado" TargetMode="External"/><Relationship Id="rId49" Type="http://schemas.openxmlformats.org/officeDocument/2006/relationships/hyperlink" Target="https://www.camara.gov.co/representantes/erick-adrian-velasco-burbano" TargetMode="External"/><Relationship Id="rId57" Type="http://schemas.openxmlformats.org/officeDocument/2006/relationships/hyperlink" Target="https://www.camara.gov.co/representantes/duvalier-sanchez-arango" TargetMode="External"/><Relationship Id="rId10" Type="http://schemas.openxmlformats.org/officeDocument/2006/relationships/hyperlink" Target="https://www.camara.gov.co/representantes/luis-eduardo-diaz-mateus" TargetMode="External"/><Relationship Id="rId31" Type="http://schemas.openxmlformats.org/officeDocument/2006/relationships/hyperlink" Target="https://www.camara.gov.co/representantes/jorge-alejandro-ocampo-giraldo" TargetMode="External"/><Relationship Id="rId44" Type="http://schemas.openxmlformats.org/officeDocument/2006/relationships/hyperlink" Target="https://www.camara.gov.co/representantes/armando-antonio-zabarain-de-arce" TargetMode="External"/><Relationship Id="rId52" Type="http://schemas.openxmlformats.org/officeDocument/2006/relationships/hyperlink" Target="https://www.camara.gov.co/representantes/ingrid-johana-aguirre-juvinao" TargetMode="External"/><Relationship Id="rId60" Type="http://schemas.openxmlformats.org/officeDocument/2006/relationships/hyperlink" Target="https://www.camara.gov.co/representantes/karen-astrith-manrique-olarte" TargetMode="External"/><Relationship Id="rId65" Type="http://schemas.openxmlformats.org/officeDocument/2006/relationships/hyperlink" Target="https://www.camara.gov.co/representantes/luis-eduardo-diaz-mateus" TargetMode="External"/><Relationship Id="rId73" Type="http://schemas.openxmlformats.org/officeDocument/2006/relationships/hyperlink" Target="https://www.camara.gov.co/representantes/carlos-felipe-quintero-ovalle" TargetMode="External"/><Relationship Id="rId78" Type="http://schemas.openxmlformats.org/officeDocument/2006/relationships/hyperlink" Target="https://www.camara.gov.co/representantes/karen-astrith-manrique-olarte"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mara.gov.co/representantes/carlos-felipe-quintero-ovalle" TargetMode="External"/><Relationship Id="rId13" Type="http://schemas.openxmlformats.org/officeDocument/2006/relationships/hyperlink" Target="https://www.camara.gov.co/representantes/miguel-abraham-polo-polo" TargetMode="External"/><Relationship Id="rId18" Type="http://schemas.openxmlformats.org/officeDocument/2006/relationships/hyperlink" Target="https://www.camara.gov.co/representantes/gloria-elena-arizabaleta-corral" TargetMode="External"/><Relationship Id="rId39" Type="http://schemas.openxmlformats.org/officeDocument/2006/relationships/hyperlink" Target="https://www.camara.gov.co/representantes/maria-fernanda-carrascal-rojas" TargetMode="External"/><Relationship Id="rId34" Type="http://schemas.openxmlformats.org/officeDocument/2006/relationships/hyperlink" Target="https://www.camara.gov.co/representantes/david-ricardo-racero-mayorca" TargetMode="External"/><Relationship Id="rId50" Type="http://schemas.openxmlformats.org/officeDocument/2006/relationships/hyperlink" Target="https://www.camara.gov.co/representantes/leider-alexandra-vasquez-ochoa" TargetMode="External"/><Relationship Id="rId55" Type="http://schemas.openxmlformats.org/officeDocument/2006/relationships/hyperlink" Target="https://www.camara.gov.co/representantes/carlos-felipe-quintero-ovalle" TargetMode="External"/><Relationship Id="rId76" Type="http://schemas.openxmlformats.org/officeDocument/2006/relationships/hyperlink" Target="https://www.camara.gov.co/representantes/julio-cesar-triana-quintero" TargetMode="External"/><Relationship Id="rId7" Type="http://schemas.openxmlformats.org/officeDocument/2006/relationships/endnotes" Target="endnotes.xml"/><Relationship Id="rId71" Type="http://schemas.openxmlformats.org/officeDocument/2006/relationships/hyperlink" Target="https://www.camara.gov.co/representantes/marelen-castillo-torres" TargetMode="External"/><Relationship Id="rId2" Type="http://schemas.openxmlformats.org/officeDocument/2006/relationships/numbering" Target="numbering.xml"/><Relationship Id="rId29" Type="http://schemas.openxmlformats.org/officeDocument/2006/relationships/hyperlink" Target="https://www.camara.gov.co/representantes/eduard-giovanny-sarmiento-hidalgo" TargetMode="External"/><Relationship Id="rId24" Type="http://schemas.openxmlformats.org/officeDocument/2006/relationships/hyperlink" Target="https://www.camara.gov.co/representantes/maria-del-mar-pizarro-garcia" TargetMode="External"/><Relationship Id="rId40" Type="http://schemas.openxmlformats.org/officeDocument/2006/relationships/hyperlink" Target="https://www.camara.gov.co/representantes/juan-sebastian-gomez-gonzales" TargetMode="External"/><Relationship Id="rId45" Type="http://schemas.openxmlformats.org/officeDocument/2006/relationships/hyperlink" Target="https://www.camara.gov.co/representantes/andres-felipe-jimenez-vargas" TargetMode="External"/><Relationship Id="rId66" Type="http://schemas.openxmlformats.org/officeDocument/2006/relationships/hyperlink" Target="https://www.camara.gov.co/representantes/duvalier-sanchez-arang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HFyEd+GNxY/jIH3z69t9YIg3Pg==">CgMxLjAyDmgudTVqZzRpb2F5MTJmMg5oLm03c3lmNXl4b2gxdzIOaC52aHQ5NHhiMnE2MnMyDWguaDBjdXFkcHBhdDEyDmguOXZreWczcTZ0ejczMg5oLm9heWFld2t6ZGc1bjIOaC5uMmR4NDUyZ214amUyDmguYTl0bXc1aG16cm5rMg5oLnYzeGRndXM3OWNnbjIOaC42Zmd0djFhaXg2YXkyDmguNHNxMmZ3aXZvY3NqMgloLjQ0c2luaW84AHIhMWItZTh3VVQtMGRNbWtVdmcwbUotNzNWM01HZ25QNz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5923</Words>
  <Characters>32580</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Felipe Perez Prieto (CGR)</dc:creator>
  <cp:lastModifiedBy>Jorge Horacio Rodriguez Figueroa UTL</cp:lastModifiedBy>
  <cp:revision>2</cp:revision>
  <cp:lastPrinted>2025-06-09T13:20:00Z</cp:lastPrinted>
  <dcterms:created xsi:type="dcterms:W3CDTF">2025-06-09T21:10:00Z</dcterms:created>
  <dcterms:modified xsi:type="dcterms:W3CDTF">2025-06-09T21:10:00Z</dcterms:modified>
</cp:coreProperties>
</file>